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附件</w:t>
      </w:r>
      <w:r>
        <w:rPr>
          <w:rFonts w:ascii="仿宋" w:hAnsi="仿宋" w:eastAsia="仿宋"/>
          <w:sz w:val="32"/>
          <w:szCs w:val="32"/>
          <w:highlight w:val="none"/>
          <w:lang w:eastAsia="zh-CN"/>
        </w:rPr>
        <w:t>1</w:t>
      </w:r>
      <w:r>
        <w:rPr>
          <w:rFonts w:hint="eastAsia" w:ascii="仿宋" w:hAnsi="仿宋" w:eastAsia="仿宋"/>
          <w:sz w:val="32"/>
          <w:szCs w:val="32"/>
          <w:highlight w:val="none"/>
          <w:lang w:val="en-US" w:eastAsia="zh-CN"/>
        </w:rPr>
        <w:t>6</w:t>
      </w:r>
    </w:p>
    <w:p>
      <w:pPr>
        <w:jc w:val="center"/>
        <w:rPr>
          <w:rFonts w:asciiTheme="majorEastAsia" w:hAnsiTheme="majorEastAsia" w:eastAsiaTheme="majorEastAsia"/>
          <w:b/>
          <w:sz w:val="36"/>
          <w:szCs w:val="36"/>
          <w:highlight w:val="none"/>
          <w:lang w:eastAsia="zh-CN"/>
        </w:rPr>
      </w:pPr>
      <w:r>
        <w:rPr>
          <w:rFonts w:hint="eastAsia" w:asciiTheme="majorEastAsia" w:hAnsiTheme="majorEastAsia" w:eastAsiaTheme="majorEastAsia"/>
          <w:b/>
          <w:sz w:val="36"/>
          <w:szCs w:val="36"/>
          <w:highlight w:val="none"/>
          <w:lang w:eastAsia="zh-CN"/>
        </w:rPr>
        <w:t>武汉市中等职业学校教师职称评审</w:t>
      </w:r>
    </w:p>
    <w:p>
      <w:pPr>
        <w:jc w:val="center"/>
        <w:rPr>
          <w:rFonts w:asciiTheme="majorEastAsia" w:hAnsiTheme="majorEastAsia" w:eastAsiaTheme="majorEastAsia"/>
          <w:b/>
          <w:sz w:val="36"/>
          <w:szCs w:val="36"/>
          <w:highlight w:val="none"/>
          <w:lang w:eastAsia="zh-CN"/>
        </w:rPr>
      </w:pPr>
      <w:r>
        <w:rPr>
          <w:rFonts w:hint="eastAsia" w:asciiTheme="majorEastAsia" w:hAnsiTheme="majorEastAsia" w:eastAsiaTheme="majorEastAsia"/>
          <w:b/>
          <w:sz w:val="36"/>
          <w:szCs w:val="36"/>
          <w:highlight w:val="none"/>
          <w:lang w:eastAsia="zh-CN"/>
        </w:rPr>
        <w:t>缴费有关事项的说明</w:t>
      </w:r>
    </w:p>
    <w:p>
      <w:pPr>
        <w:spacing w:after="0" w:line="240" w:lineRule="auto"/>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各区教育局、有关各中等职业学校：</w:t>
      </w:r>
    </w:p>
    <w:p>
      <w:pPr>
        <w:spacing w:after="0" w:line="240" w:lineRule="auto"/>
        <w:ind w:firstLine="640" w:firstLineChars="200"/>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根据武汉人事考试院要求，请各单位组织本单位参加</w:t>
      </w:r>
      <w:bookmarkStart w:id="1" w:name="_GoBack"/>
      <w:bookmarkEnd w:id="1"/>
      <w:r>
        <w:rPr>
          <w:rFonts w:hint="eastAsia" w:ascii="仿宋" w:hAnsi="仿宋" w:eastAsia="仿宋"/>
          <w:sz w:val="32"/>
          <w:szCs w:val="32"/>
          <w:highlight w:val="none"/>
          <w:lang w:eastAsia="zh-CN"/>
        </w:rPr>
        <w:t>202</w:t>
      </w:r>
      <w:r>
        <w:rPr>
          <w:rFonts w:ascii="仿宋" w:hAnsi="仿宋" w:eastAsia="仿宋"/>
          <w:sz w:val="32"/>
          <w:szCs w:val="32"/>
          <w:highlight w:val="none"/>
          <w:lang w:eastAsia="zh-CN"/>
        </w:rPr>
        <w:t>3</w:t>
      </w:r>
      <w:r>
        <w:rPr>
          <w:rFonts w:hint="eastAsia" w:ascii="仿宋" w:hAnsi="仿宋" w:eastAsia="仿宋"/>
          <w:sz w:val="32"/>
          <w:szCs w:val="32"/>
          <w:highlight w:val="none"/>
          <w:lang w:eastAsia="zh-CN"/>
        </w:rPr>
        <w:t>年中等职业学校高、中级职称评审人员集中核对申报信息，核对无误后按职称评审缴费流程缴纳评审费用。</w:t>
      </w:r>
    </w:p>
    <w:p>
      <w:pPr>
        <w:pStyle w:val="17"/>
        <w:shd w:val="clear" w:color="auto" w:fill="FFFFFF"/>
        <w:spacing w:beforeAutospacing="0" w:afterAutospacing="0" w:line="240" w:lineRule="auto"/>
        <w:ind w:left="440" w:firstLine="640" w:firstLineChars="200"/>
        <w:textAlignment w:val="baseline"/>
        <w:rPr>
          <w:rFonts w:ascii="黑体" w:hAnsi="黑体" w:eastAsia="黑体" w:cs="黑体"/>
          <w:color w:val="131313"/>
          <w:sz w:val="32"/>
          <w:szCs w:val="32"/>
          <w:highlight w:val="none"/>
          <w:shd w:val="clear" w:color="auto" w:fill="FFFFFF"/>
        </w:rPr>
      </w:pPr>
      <w:r>
        <w:rPr>
          <w:rFonts w:hint="eastAsia" w:ascii="黑体" w:hAnsi="黑体" w:eastAsia="黑体" w:cs="黑体"/>
          <w:color w:val="131313"/>
          <w:sz w:val="32"/>
          <w:szCs w:val="32"/>
          <w:highlight w:val="none"/>
          <w:shd w:val="clear" w:color="auto" w:fill="FFFFFF"/>
        </w:rPr>
        <w:t>一、缴费依据和标准</w:t>
      </w:r>
    </w:p>
    <w:p>
      <w:pPr>
        <w:spacing w:after="0" w:line="240" w:lineRule="auto"/>
        <w:ind w:firstLine="640" w:firstLineChars="200"/>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按《湖北省物价局省财政厅关于调整专业技术职务评审费收费标准的通知》（</w:t>
      </w:r>
      <w:r>
        <w:rPr>
          <w:rFonts w:ascii="仿宋" w:hAnsi="仿宋" w:eastAsia="仿宋"/>
          <w:sz w:val="32"/>
          <w:szCs w:val="32"/>
          <w:highlight w:val="none"/>
          <w:lang w:eastAsia="zh-CN"/>
        </w:rPr>
        <w:t>鄂价费〔2001〕302号</w:t>
      </w:r>
      <w:r>
        <w:rPr>
          <w:rFonts w:hint="eastAsia" w:ascii="仿宋" w:hAnsi="仿宋" w:eastAsia="仿宋"/>
          <w:sz w:val="32"/>
          <w:szCs w:val="32"/>
          <w:highlight w:val="none"/>
          <w:lang w:eastAsia="zh-CN"/>
        </w:rPr>
        <w:t>）规定，高职称评审费400元/人，中级职称评审费200元/人 。202</w:t>
      </w:r>
      <w:r>
        <w:rPr>
          <w:rFonts w:ascii="仿宋" w:hAnsi="仿宋" w:eastAsia="仿宋"/>
          <w:sz w:val="32"/>
          <w:szCs w:val="32"/>
          <w:highlight w:val="none"/>
          <w:lang w:eastAsia="zh-CN"/>
        </w:rPr>
        <w:t>1</w:t>
      </w:r>
      <w:r>
        <w:rPr>
          <w:rFonts w:hint="eastAsia" w:ascii="仿宋" w:hAnsi="仿宋" w:eastAsia="仿宋"/>
          <w:sz w:val="32"/>
          <w:szCs w:val="32"/>
          <w:highlight w:val="none"/>
          <w:lang w:eastAsia="zh-CN"/>
        </w:rPr>
        <w:t>年、202</w:t>
      </w:r>
      <w:r>
        <w:rPr>
          <w:rFonts w:ascii="仿宋" w:hAnsi="仿宋" w:eastAsia="仿宋"/>
          <w:sz w:val="32"/>
          <w:szCs w:val="32"/>
          <w:highlight w:val="none"/>
          <w:lang w:eastAsia="zh-CN"/>
        </w:rPr>
        <w:t>2</w:t>
      </w:r>
      <w:r>
        <w:rPr>
          <w:rFonts w:hint="eastAsia" w:ascii="仿宋" w:hAnsi="仿宋" w:eastAsia="仿宋"/>
          <w:sz w:val="32"/>
          <w:szCs w:val="32"/>
          <w:highlight w:val="none"/>
          <w:lang w:eastAsia="zh-CN"/>
        </w:rPr>
        <w:t>年已通过水平能力测试的人员今年无需再次缴纳评审费。</w:t>
      </w:r>
    </w:p>
    <w:p>
      <w:pPr>
        <w:pStyle w:val="17"/>
        <w:shd w:val="clear" w:color="auto" w:fill="FFFFFF"/>
        <w:spacing w:beforeAutospacing="0" w:afterAutospacing="0" w:line="240" w:lineRule="auto"/>
        <w:ind w:firstLine="640" w:firstLineChars="200"/>
        <w:textAlignment w:val="baseline"/>
        <w:rPr>
          <w:rFonts w:ascii="黑体" w:hAnsi="黑体" w:eastAsia="黑体" w:cs="黑体"/>
          <w:color w:val="131313"/>
          <w:sz w:val="32"/>
          <w:szCs w:val="32"/>
          <w:highlight w:val="none"/>
        </w:rPr>
      </w:pPr>
      <w:r>
        <w:rPr>
          <w:rFonts w:hint="eastAsia" w:ascii="黑体" w:hAnsi="黑体" w:eastAsia="黑体" w:cs="黑体"/>
          <w:color w:val="131313"/>
          <w:sz w:val="32"/>
          <w:szCs w:val="32"/>
          <w:highlight w:val="none"/>
          <w:shd w:val="clear" w:color="auto" w:fill="FFFFFF"/>
        </w:rPr>
        <w:t>二、缴费流程</w:t>
      </w:r>
    </w:p>
    <w:p>
      <w:pPr>
        <w:spacing w:line="240" w:lineRule="auto"/>
        <w:ind w:firstLine="640" w:firstLineChars="200"/>
        <w:rPr>
          <w:rFonts w:ascii="仿宋" w:hAnsi="仿宋" w:eastAsia="仿宋"/>
          <w:sz w:val="32"/>
          <w:szCs w:val="32"/>
          <w:highlight w:val="none"/>
          <w:lang w:eastAsia="zh-CN"/>
        </w:rPr>
      </w:pPr>
      <w:r>
        <w:rPr>
          <w:rFonts w:hint="eastAsia" w:ascii="仿宋" w:hAnsi="仿宋" w:eastAsia="仿宋"/>
          <w:sz w:val="32"/>
          <w:szCs w:val="32"/>
          <w:highlight w:val="none"/>
          <w:lang w:eastAsia="zh-CN"/>
        </w:rPr>
        <w:t>（一）实行网上缴费。申报人员先须正确填写电子版《武汉市人事考试院202</w:t>
      </w:r>
      <w:r>
        <w:rPr>
          <w:rFonts w:ascii="仿宋" w:hAnsi="仿宋" w:eastAsia="仿宋"/>
          <w:sz w:val="32"/>
          <w:szCs w:val="32"/>
          <w:highlight w:val="none"/>
          <w:lang w:eastAsia="zh-CN"/>
        </w:rPr>
        <w:t>3</w:t>
      </w:r>
      <w:r>
        <w:rPr>
          <w:rFonts w:hint="eastAsia" w:ascii="仿宋" w:hAnsi="仿宋" w:eastAsia="仿宋"/>
          <w:sz w:val="32"/>
          <w:szCs w:val="32"/>
          <w:highlight w:val="none"/>
          <w:lang w:eastAsia="zh-CN"/>
        </w:rPr>
        <w:t>年职称评审缴费信息统计表》（见附件），认真核对填写的姓名、手机号、身份证号，避免因信息有误导致“不能”缴费及票据的接收，申报人提交申报材料时一并交主管部门汇总。主管部门在提交申报材料时，将汇总缴费信息统计表提交武汉市中专教师高（中）级职务任职资格</w:t>
      </w:r>
      <w:bookmarkStart w:id="0" w:name="_Toc5271_WPSOffice_Level1"/>
      <w:r>
        <w:rPr>
          <w:rFonts w:hint="eastAsia" w:ascii="仿宋" w:hAnsi="仿宋" w:eastAsia="仿宋"/>
          <w:sz w:val="32"/>
          <w:szCs w:val="32"/>
          <w:highlight w:val="none"/>
          <w:lang w:eastAsia="zh-CN"/>
        </w:rPr>
        <w:t>评审委员会办公室</w:t>
      </w:r>
      <w:bookmarkEnd w:id="0"/>
      <w:r>
        <w:rPr>
          <w:rFonts w:hint="eastAsia" w:ascii="仿宋" w:hAnsi="仿宋" w:eastAsia="仿宋"/>
          <w:sz w:val="32"/>
          <w:szCs w:val="32"/>
          <w:highlight w:val="none"/>
          <w:lang w:eastAsia="zh-CN"/>
        </w:rPr>
        <w:t>。</w:t>
      </w:r>
    </w:p>
    <w:p>
      <w:pPr>
        <w:spacing w:after="0" w:line="240" w:lineRule="auto"/>
        <w:ind w:firstLine="640" w:firstLineChars="200"/>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（二）申报材料核验通过后，申报人可在规定时间内通过招商银行手机银行APP直接完成评审缴费（操作见附件），系统自动生成电子票据，供申报人下载打印。</w:t>
      </w:r>
    </w:p>
    <w:p>
      <w:pPr>
        <w:spacing w:after="0" w:line="240" w:lineRule="auto"/>
        <w:ind w:firstLine="640" w:firstLineChars="200"/>
        <w:jc w:val="both"/>
        <w:rPr>
          <w:rFonts w:ascii="仿宋" w:hAnsi="仿宋" w:eastAsia="仿宋"/>
          <w:sz w:val="32"/>
          <w:szCs w:val="32"/>
          <w:highlight w:val="none"/>
          <w:lang w:eastAsia="zh-CN"/>
        </w:rPr>
      </w:pPr>
      <w:r>
        <w:rPr>
          <w:rFonts w:hint="eastAsia" w:ascii="仿宋" w:hAnsi="仿宋" w:eastAsia="仿宋"/>
          <w:sz w:val="32"/>
          <w:szCs w:val="32"/>
          <w:highlight w:val="none"/>
          <w:lang w:eastAsia="zh-CN"/>
        </w:rPr>
        <w:t>后期我办将按市人事考试院反馈的信息向成功缴费的人员发放准考证。申报人员逾期未交费的视同放弃申报资格。</w:t>
      </w:r>
    </w:p>
    <w:p>
      <w:pPr>
        <w:spacing w:after="0" w:line="240" w:lineRule="auto"/>
        <w:ind w:firstLine="640" w:firstLineChars="200"/>
        <w:jc w:val="both"/>
        <w:rPr>
          <w:rFonts w:ascii="仿宋" w:hAnsi="仿宋" w:eastAsia="仿宋"/>
          <w:sz w:val="32"/>
          <w:szCs w:val="32"/>
          <w:highlight w:val="none"/>
          <w:lang w:eastAsia="zh-CN"/>
        </w:rPr>
      </w:pPr>
    </w:p>
    <w:p>
      <w:pPr>
        <w:spacing w:after="0" w:line="240" w:lineRule="auto"/>
        <w:ind w:firstLine="640" w:firstLineChars="200"/>
        <w:rPr>
          <w:rFonts w:ascii="仿宋" w:hAnsi="仿宋" w:eastAsia="仿宋"/>
          <w:sz w:val="32"/>
          <w:szCs w:val="32"/>
          <w:highlight w:val="none"/>
          <w:lang w:eastAsia="zh-CN"/>
        </w:rPr>
      </w:pPr>
    </w:p>
    <w:p>
      <w:pPr>
        <w:spacing w:after="0" w:line="240" w:lineRule="auto"/>
        <w:ind w:firstLine="640" w:firstLineChars="200"/>
        <w:rPr>
          <w:rFonts w:hint="default" w:ascii="仿宋" w:hAnsi="仿宋" w:eastAsia="仿宋"/>
          <w:sz w:val="32"/>
          <w:szCs w:val="32"/>
          <w:highlight w:val="none"/>
          <w:lang w:val="en-US" w:eastAsia="zh-CN"/>
        </w:rPr>
      </w:pPr>
      <w:r>
        <w:rPr>
          <w:rFonts w:hint="eastAsia" w:ascii="仿宋" w:hAnsi="仿宋" w:eastAsia="仿宋"/>
          <w:sz w:val="32"/>
          <w:szCs w:val="32"/>
          <w:highlight w:val="none"/>
          <w:lang w:eastAsia="zh-CN"/>
        </w:rPr>
        <w:t xml:space="preserve">联 系 人： 徐瑞玲      </w:t>
      </w:r>
      <w:r>
        <w:rPr>
          <w:rFonts w:hint="eastAsia" w:ascii="仿宋" w:hAnsi="仿宋" w:eastAsia="仿宋"/>
          <w:sz w:val="32"/>
          <w:szCs w:val="32"/>
          <w:highlight w:val="none"/>
          <w:lang w:val="en-US" w:eastAsia="zh-CN"/>
        </w:rPr>
        <w:t>张家圆</w:t>
      </w:r>
    </w:p>
    <w:p>
      <w:pPr>
        <w:spacing w:after="0" w:line="240" w:lineRule="auto"/>
        <w:ind w:firstLine="640" w:firstLineChars="200"/>
        <w:rPr>
          <w:rFonts w:ascii="仿宋" w:hAnsi="仿宋" w:eastAsia="仿宋"/>
          <w:sz w:val="32"/>
          <w:szCs w:val="32"/>
          <w:highlight w:val="none"/>
          <w:lang w:eastAsia="zh-CN"/>
        </w:rPr>
      </w:pPr>
      <w:r>
        <w:rPr>
          <w:rFonts w:hint="eastAsia" w:ascii="仿宋" w:hAnsi="仿宋" w:eastAsia="仿宋"/>
          <w:sz w:val="32"/>
          <w:szCs w:val="32"/>
          <w:highlight w:val="none"/>
          <w:lang w:eastAsia="zh-CN"/>
        </w:rPr>
        <w:t>联系电话：65608446    85617778</w:t>
      </w:r>
    </w:p>
    <w:p>
      <w:pPr>
        <w:spacing w:after="0" w:line="240" w:lineRule="auto"/>
        <w:ind w:right="480" w:firstLine="640" w:firstLineChars="200"/>
        <w:jc w:val="right"/>
        <w:rPr>
          <w:rFonts w:ascii="仿宋" w:hAnsi="仿宋" w:eastAsia="仿宋"/>
          <w:sz w:val="32"/>
          <w:szCs w:val="32"/>
          <w:highlight w:val="none"/>
          <w:lang w:eastAsia="zh-CN"/>
        </w:rPr>
      </w:pPr>
    </w:p>
    <w:p>
      <w:pPr>
        <w:wordWrap w:val="0"/>
        <w:spacing w:after="0" w:line="240" w:lineRule="auto"/>
        <w:ind w:firstLine="640" w:firstLineChars="200"/>
        <w:jc w:val="right"/>
        <w:rPr>
          <w:b/>
          <w:sz w:val="28"/>
          <w:szCs w:val="28"/>
          <w:highlight w:val="none"/>
          <w:lang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sz w:val="32"/>
          <w:szCs w:val="32"/>
          <w:highlight w:val="none"/>
          <w:lang w:eastAsia="zh-CN"/>
        </w:rPr>
        <w:t xml:space="preserve">                    202</w:t>
      </w:r>
      <w:r>
        <w:rPr>
          <w:rFonts w:ascii="仿宋" w:hAnsi="仿宋" w:eastAsia="仿宋"/>
          <w:sz w:val="32"/>
          <w:szCs w:val="32"/>
          <w:highlight w:val="none"/>
          <w:lang w:eastAsia="zh-CN"/>
        </w:rPr>
        <w:t>3</w:t>
      </w:r>
      <w:r>
        <w:rPr>
          <w:rFonts w:hint="eastAsia" w:ascii="仿宋" w:hAnsi="仿宋" w:eastAsia="仿宋"/>
          <w:sz w:val="32"/>
          <w:szCs w:val="32"/>
          <w:highlight w:val="none"/>
          <w:lang w:eastAsia="zh-CN"/>
        </w:rPr>
        <w:t>年</w:t>
      </w:r>
      <w:r>
        <w:rPr>
          <w:rFonts w:hint="eastAsia" w:ascii="仿宋" w:hAnsi="仿宋" w:eastAsia="仿宋"/>
          <w:sz w:val="32"/>
          <w:szCs w:val="32"/>
          <w:highlight w:val="none"/>
          <w:lang w:val="en-US" w:eastAsia="zh-CN"/>
        </w:rPr>
        <w:t>9</w:t>
      </w:r>
      <w:r>
        <w:rPr>
          <w:rFonts w:hint="eastAsia" w:ascii="仿宋" w:hAnsi="仿宋" w:eastAsia="仿宋"/>
          <w:sz w:val="32"/>
          <w:szCs w:val="32"/>
          <w:highlight w:val="none"/>
          <w:lang w:eastAsia="zh-CN"/>
        </w:rPr>
        <w:t>月</w:t>
      </w:r>
      <w:r>
        <w:rPr>
          <w:rFonts w:hint="eastAsia" w:ascii="仿宋" w:hAnsi="仿宋" w:eastAsia="仿宋"/>
          <w:sz w:val="32"/>
          <w:szCs w:val="32"/>
          <w:highlight w:val="none"/>
          <w:u w:val="single"/>
          <w:lang w:eastAsia="zh-CN"/>
        </w:rPr>
        <w:t xml:space="preserve">   </w:t>
      </w:r>
      <w:r>
        <w:rPr>
          <w:rFonts w:hint="eastAsia" w:ascii="仿宋" w:hAnsi="仿宋" w:eastAsia="仿宋"/>
          <w:sz w:val="32"/>
          <w:szCs w:val="32"/>
          <w:highlight w:val="none"/>
          <w:lang w:eastAsia="zh-CN"/>
        </w:rPr>
        <w:t>日</w:t>
      </w:r>
      <w:r>
        <w:rPr>
          <w:b/>
          <w:sz w:val="28"/>
          <w:szCs w:val="28"/>
          <w:highlight w:val="none"/>
          <w:lang w:eastAsia="zh-CN"/>
        </w:rPr>
        <w:br w:type="page"/>
      </w:r>
    </w:p>
    <w:p>
      <w:pPr>
        <w:spacing w:line="360" w:lineRule="exact"/>
        <w:rPr>
          <w:rFonts w:asciiTheme="majorEastAsia" w:hAnsiTheme="majorEastAsia" w:eastAsiaTheme="majorEastAsia"/>
          <w:sz w:val="32"/>
          <w:szCs w:val="32"/>
          <w:highlight w:val="none"/>
          <w:lang w:eastAsia="zh-CN"/>
        </w:rPr>
      </w:pPr>
      <w:r>
        <w:rPr>
          <w:rFonts w:hint="eastAsia" w:asciiTheme="majorEastAsia" w:hAnsiTheme="majorEastAsia" w:eastAsiaTheme="majorEastAsia"/>
          <w:sz w:val="32"/>
          <w:szCs w:val="32"/>
          <w:highlight w:val="none"/>
          <w:lang w:eastAsia="zh-CN"/>
        </w:rPr>
        <w:t>附件1</w:t>
      </w:r>
    </w:p>
    <w:p>
      <w:pPr>
        <w:spacing w:after="0" w:line="360" w:lineRule="exact"/>
        <w:jc w:val="center"/>
        <w:rPr>
          <w:rFonts w:asciiTheme="majorEastAsia" w:hAnsiTheme="majorEastAsia" w:eastAsiaTheme="majorEastAsia"/>
          <w:b/>
          <w:sz w:val="28"/>
          <w:szCs w:val="28"/>
          <w:highlight w:val="none"/>
          <w:lang w:eastAsia="zh-CN"/>
        </w:rPr>
      </w:pPr>
      <w:r>
        <w:rPr>
          <w:rFonts w:hint="eastAsia" w:asciiTheme="majorEastAsia" w:hAnsiTheme="majorEastAsia" w:eastAsiaTheme="majorEastAsia"/>
          <w:b/>
          <w:sz w:val="28"/>
          <w:szCs w:val="28"/>
          <w:highlight w:val="none"/>
          <w:lang w:eastAsia="zh-CN"/>
        </w:rPr>
        <w:t>武汉市中等职业学校202</w:t>
      </w:r>
      <w:r>
        <w:rPr>
          <w:rFonts w:asciiTheme="majorEastAsia" w:hAnsiTheme="majorEastAsia" w:eastAsiaTheme="majorEastAsia"/>
          <w:b/>
          <w:sz w:val="28"/>
          <w:szCs w:val="28"/>
          <w:highlight w:val="none"/>
          <w:lang w:eastAsia="zh-CN"/>
        </w:rPr>
        <w:t>3</w:t>
      </w:r>
      <w:r>
        <w:rPr>
          <w:rFonts w:hint="eastAsia" w:asciiTheme="majorEastAsia" w:hAnsiTheme="majorEastAsia" w:eastAsiaTheme="majorEastAsia"/>
          <w:b/>
          <w:sz w:val="28"/>
          <w:szCs w:val="28"/>
          <w:highlight w:val="none"/>
          <w:lang w:eastAsia="zh-CN"/>
        </w:rPr>
        <w:t>年申报高级讲师、讲师人员评审人员基本信息统计表</w:t>
      </w:r>
    </w:p>
    <w:tbl>
      <w:tblPr>
        <w:tblStyle w:val="19"/>
        <w:tblW w:w="146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850"/>
        <w:gridCol w:w="2410"/>
        <w:gridCol w:w="1701"/>
        <w:gridCol w:w="1134"/>
        <w:gridCol w:w="1701"/>
        <w:gridCol w:w="1520"/>
        <w:gridCol w:w="1693"/>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000" w:type="dxa"/>
            <w:shd w:val="clear" w:color="auto" w:fill="auto"/>
            <w:noWrap/>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工作单位</w:t>
            </w:r>
          </w:p>
        </w:tc>
        <w:tc>
          <w:tcPr>
            <w:tcW w:w="850" w:type="dxa"/>
            <w:shd w:val="clear" w:color="auto" w:fill="auto"/>
            <w:noWrap/>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姓名</w:t>
            </w:r>
          </w:p>
        </w:tc>
        <w:tc>
          <w:tcPr>
            <w:tcW w:w="2410" w:type="dxa"/>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身份证号</w:t>
            </w:r>
          </w:p>
        </w:tc>
        <w:tc>
          <w:tcPr>
            <w:tcW w:w="1701" w:type="dxa"/>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手机号</w:t>
            </w:r>
          </w:p>
        </w:tc>
        <w:tc>
          <w:tcPr>
            <w:tcW w:w="1134" w:type="dxa"/>
            <w:shd w:val="clear" w:color="auto" w:fill="auto"/>
            <w:noWrap/>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专业代码</w:t>
            </w:r>
          </w:p>
        </w:tc>
        <w:tc>
          <w:tcPr>
            <w:tcW w:w="1701" w:type="dxa"/>
            <w:shd w:val="clear" w:color="auto" w:fill="auto"/>
            <w:noWrap/>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从事专业</w:t>
            </w:r>
          </w:p>
        </w:tc>
        <w:tc>
          <w:tcPr>
            <w:tcW w:w="1520" w:type="dxa"/>
            <w:shd w:val="clear" w:color="auto" w:fill="auto"/>
            <w:noWrap/>
            <w:vAlign w:val="center"/>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申报职务</w:t>
            </w:r>
          </w:p>
        </w:tc>
        <w:tc>
          <w:tcPr>
            <w:tcW w:w="1693" w:type="dxa"/>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缴费标准</w:t>
            </w:r>
          </w:p>
        </w:tc>
        <w:tc>
          <w:tcPr>
            <w:tcW w:w="1686" w:type="dxa"/>
          </w:tcPr>
          <w:p>
            <w:pPr>
              <w:spacing w:after="0" w:line="240" w:lineRule="auto"/>
              <w:jc w:val="center"/>
              <w:rPr>
                <w:rFonts w:ascii="宋体" w:hAnsi="宋体" w:eastAsia="宋体" w:cs="宋体"/>
                <w:b/>
                <w:color w:val="000000"/>
                <w:sz w:val="18"/>
                <w:szCs w:val="24"/>
                <w:highlight w:val="none"/>
                <w:lang w:eastAsia="zh-CN" w:bidi="ar-SA"/>
              </w:rPr>
            </w:pPr>
            <w:r>
              <w:rPr>
                <w:rFonts w:hint="eastAsia" w:ascii="宋体" w:hAnsi="宋体" w:eastAsia="宋体" w:cs="宋体"/>
                <w:b/>
                <w:color w:val="000000"/>
                <w:sz w:val="18"/>
                <w:szCs w:val="24"/>
                <w:highlight w:val="none"/>
                <w:lang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00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武汉市***学校</w:t>
            </w:r>
          </w:p>
        </w:tc>
        <w:tc>
          <w:tcPr>
            <w:tcW w:w="85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2410" w:type="dxa"/>
          </w:tcPr>
          <w:p>
            <w:pPr>
              <w:spacing w:after="0" w:line="240" w:lineRule="auto"/>
              <w:jc w:val="center"/>
              <w:rPr>
                <w:rFonts w:ascii="宋体" w:hAnsi="宋体" w:eastAsia="宋体" w:cs="宋体"/>
                <w:color w:val="000000"/>
                <w:sz w:val="18"/>
                <w:szCs w:val="24"/>
                <w:highlight w:val="none"/>
                <w:lang w:eastAsia="zh-CN" w:bidi="ar-SA"/>
              </w:rPr>
            </w:pPr>
          </w:p>
        </w:tc>
        <w:tc>
          <w:tcPr>
            <w:tcW w:w="1701" w:type="dxa"/>
          </w:tcPr>
          <w:p>
            <w:pPr>
              <w:spacing w:after="0" w:line="240" w:lineRule="auto"/>
              <w:jc w:val="center"/>
              <w:rPr>
                <w:rFonts w:ascii="宋体" w:hAnsi="宋体" w:eastAsia="宋体" w:cs="宋体"/>
                <w:color w:val="000000"/>
                <w:sz w:val="18"/>
                <w:szCs w:val="24"/>
                <w:highlight w:val="none"/>
                <w:lang w:eastAsia="zh-CN" w:bidi="ar-SA"/>
              </w:rPr>
            </w:pPr>
          </w:p>
        </w:tc>
        <w:tc>
          <w:tcPr>
            <w:tcW w:w="1134"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701"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52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高级讲师</w:t>
            </w:r>
          </w:p>
        </w:tc>
        <w:tc>
          <w:tcPr>
            <w:tcW w:w="1693"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400元</w:t>
            </w:r>
          </w:p>
        </w:tc>
        <w:tc>
          <w:tcPr>
            <w:tcW w:w="1686" w:type="dxa"/>
          </w:tcPr>
          <w:p>
            <w:pPr>
              <w:spacing w:after="0" w:line="240" w:lineRule="auto"/>
              <w:jc w:val="center"/>
              <w:rPr>
                <w:rFonts w:ascii="宋体" w:hAnsi="宋体" w:eastAsia="宋体" w:cs="宋体"/>
                <w:color w:val="000000"/>
                <w:sz w:val="18"/>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00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武汉市***学校</w:t>
            </w:r>
          </w:p>
        </w:tc>
        <w:tc>
          <w:tcPr>
            <w:tcW w:w="85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2410" w:type="dxa"/>
          </w:tcPr>
          <w:p>
            <w:pPr>
              <w:spacing w:after="0" w:line="240" w:lineRule="auto"/>
              <w:jc w:val="center"/>
              <w:rPr>
                <w:rFonts w:ascii="宋体" w:hAnsi="宋体" w:eastAsia="宋体" w:cs="宋体"/>
                <w:color w:val="000000"/>
                <w:sz w:val="18"/>
                <w:szCs w:val="24"/>
                <w:highlight w:val="none"/>
                <w:lang w:eastAsia="zh-CN" w:bidi="ar-SA"/>
              </w:rPr>
            </w:pPr>
          </w:p>
        </w:tc>
        <w:tc>
          <w:tcPr>
            <w:tcW w:w="1701" w:type="dxa"/>
          </w:tcPr>
          <w:p>
            <w:pPr>
              <w:spacing w:after="0" w:line="240" w:lineRule="auto"/>
              <w:jc w:val="center"/>
              <w:rPr>
                <w:rFonts w:ascii="宋体" w:hAnsi="宋体" w:eastAsia="宋体" w:cs="宋体"/>
                <w:color w:val="000000"/>
                <w:sz w:val="18"/>
                <w:szCs w:val="24"/>
                <w:highlight w:val="none"/>
                <w:lang w:eastAsia="zh-CN" w:bidi="ar-SA"/>
              </w:rPr>
            </w:pPr>
          </w:p>
        </w:tc>
        <w:tc>
          <w:tcPr>
            <w:tcW w:w="1134"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701"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52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高级讲师</w:t>
            </w:r>
          </w:p>
        </w:tc>
        <w:tc>
          <w:tcPr>
            <w:tcW w:w="1693"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0元</w:t>
            </w:r>
          </w:p>
        </w:tc>
        <w:tc>
          <w:tcPr>
            <w:tcW w:w="1686"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20</w:t>
            </w:r>
            <w:r>
              <w:rPr>
                <w:rFonts w:ascii="宋体" w:hAnsi="宋体" w:eastAsia="宋体" w:cs="宋体"/>
                <w:color w:val="000000"/>
                <w:sz w:val="18"/>
                <w:szCs w:val="24"/>
                <w:highlight w:val="none"/>
                <w:lang w:eastAsia="zh-CN" w:bidi="ar-SA"/>
              </w:rPr>
              <w:t>21</w:t>
            </w:r>
            <w:r>
              <w:rPr>
                <w:rFonts w:hint="eastAsia" w:ascii="宋体" w:hAnsi="宋体" w:eastAsia="宋体" w:cs="宋体"/>
                <w:color w:val="000000"/>
                <w:sz w:val="18"/>
                <w:szCs w:val="24"/>
                <w:highlight w:val="none"/>
                <w:lang w:eastAsia="zh-CN" w:bidi="ar-SA"/>
              </w:rPr>
              <w:t>年通过测试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00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武汉市***学校</w:t>
            </w:r>
          </w:p>
        </w:tc>
        <w:tc>
          <w:tcPr>
            <w:tcW w:w="85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2410" w:type="dxa"/>
          </w:tcPr>
          <w:p>
            <w:pPr>
              <w:spacing w:after="0" w:line="240" w:lineRule="auto"/>
              <w:jc w:val="center"/>
              <w:rPr>
                <w:rFonts w:ascii="宋体" w:hAnsi="宋体" w:eastAsia="宋体" w:cs="宋体"/>
                <w:color w:val="000000"/>
                <w:sz w:val="18"/>
                <w:szCs w:val="24"/>
                <w:highlight w:val="none"/>
                <w:lang w:eastAsia="zh-CN" w:bidi="ar-SA"/>
              </w:rPr>
            </w:pPr>
          </w:p>
        </w:tc>
        <w:tc>
          <w:tcPr>
            <w:tcW w:w="1701" w:type="dxa"/>
          </w:tcPr>
          <w:p>
            <w:pPr>
              <w:spacing w:after="0" w:line="240" w:lineRule="auto"/>
              <w:jc w:val="center"/>
              <w:rPr>
                <w:rFonts w:ascii="宋体" w:hAnsi="宋体" w:eastAsia="宋体" w:cs="宋体"/>
                <w:color w:val="000000"/>
                <w:sz w:val="18"/>
                <w:szCs w:val="24"/>
                <w:highlight w:val="none"/>
                <w:lang w:eastAsia="zh-CN" w:bidi="ar-SA"/>
              </w:rPr>
            </w:pPr>
          </w:p>
        </w:tc>
        <w:tc>
          <w:tcPr>
            <w:tcW w:w="1134"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701"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52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讲师</w:t>
            </w:r>
          </w:p>
        </w:tc>
        <w:tc>
          <w:tcPr>
            <w:tcW w:w="1693"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200元</w:t>
            </w:r>
          </w:p>
        </w:tc>
        <w:tc>
          <w:tcPr>
            <w:tcW w:w="1686" w:type="dxa"/>
          </w:tcPr>
          <w:p>
            <w:pPr>
              <w:spacing w:after="0" w:line="240" w:lineRule="auto"/>
              <w:jc w:val="center"/>
              <w:rPr>
                <w:rFonts w:ascii="宋体" w:hAnsi="宋体" w:eastAsia="宋体" w:cs="宋体"/>
                <w:color w:val="000000"/>
                <w:sz w:val="18"/>
                <w:szCs w:val="24"/>
                <w:highlight w:val="none"/>
                <w:lang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00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武汉市***学校</w:t>
            </w:r>
          </w:p>
        </w:tc>
        <w:tc>
          <w:tcPr>
            <w:tcW w:w="85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2410" w:type="dxa"/>
          </w:tcPr>
          <w:p>
            <w:pPr>
              <w:spacing w:after="0" w:line="240" w:lineRule="auto"/>
              <w:jc w:val="center"/>
              <w:rPr>
                <w:rFonts w:ascii="宋体" w:hAnsi="宋体" w:eastAsia="宋体" w:cs="宋体"/>
                <w:color w:val="000000"/>
                <w:sz w:val="18"/>
                <w:szCs w:val="24"/>
                <w:highlight w:val="none"/>
                <w:lang w:eastAsia="zh-CN" w:bidi="ar-SA"/>
              </w:rPr>
            </w:pPr>
          </w:p>
        </w:tc>
        <w:tc>
          <w:tcPr>
            <w:tcW w:w="1701" w:type="dxa"/>
          </w:tcPr>
          <w:p>
            <w:pPr>
              <w:spacing w:after="0" w:line="240" w:lineRule="auto"/>
              <w:jc w:val="center"/>
              <w:rPr>
                <w:rFonts w:ascii="宋体" w:hAnsi="宋体" w:eastAsia="宋体" w:cs="宋体"/>
                <w:color w:val="000000"/>
                <w:sz w:val="18"/>
                <w:szCs w:val="24"/>
                <w:highlight w:val="none"/>
                <w:lang w:eastAsia="zh-CN" w:bidi="ar-SA"/>
              </w:rPr>
            </w:pPr>
          </w:p>
        </w:tc>
        <w:tc>
          <w:tcPr>
            <w:tcW w:w="1134"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701"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p>
        </w:tc>
        <w:tc>
          <w:tcPr>
            <w:tcW w:w="1520" w:type="dxa"/>
            <w:shd w:val="clear" w:color="auto" w:fill="auto"/>
            <w:noWrap/>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讲师</w:t>
            </w:r>
          </w:p>
        </w:tc>
        <w:tc>
          <w:tcPr>
            <w:tcW w:w="1693"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0元</w:t>
            </w:r>
          </w:p>
        </w:tc>
        <w:tc>
          <w:tcPr>
            <w:tcW w:w="1686" w:type="dxa"/>
          </w:tcPr>
          <w:p>
            <w:pPr>
              <w:spacing w:after="0" w:line="240" w:lineRule="auto"/>
              <w:jc w:val="center"/>
              <w:rPr>
                <w:rFonts w:ascii="宋体" w:hAnsi="宋体" w:eastAsia="宋体" w:cs="宋体"/>
                <w:color w:val="000000"/>
                <w:sz w:val="18"/>
                <w:szCs w:val="24"/>
                <w:highlight w:val="none"/>
                <w:lang w:eastAsia="zh-CN" w:bidi="ar-SA"/>
              </w:rPr>
            </w:pPr>
            <w:r>
              <w:rPr>
                <w:rFonts w:hint="eastAsia" w:ascii="宋体" w:hAnsi="宋体" w:eastAsia="宋体" w:cs="宋体"/>
                <w:color w:val="000000"/>
                <w:sz w:val="18"/>
                <w:szCs w:val="24"/>
                <w:highlight w:val="none"/>
                <w:lang w:eastAsia="zh-CN" w:bidi="ar-SA"/>
              </w:rPr>
              <w:t>20</w:t>
            </w:r>
            <w:r>
              <w:rPr>
                <w:rFonts w:ascii="宋体" w:hAnsi="宋体" w:eastAsia="宋体" w:cs="宋体"/>
                <w:color w:val="000000"/>
                <w:sz w:val="18"/>
                <w:szCs w:val="24"/>
                <w:highlight w:val="none"/>
                <w:lang w:eastAsia="zh-CN" w:bidi="ar-SA"/>
              </w:rPr>
              <w:t>21</w:t>
            </w:r>
            <w:r>
              <w:rPr>
                <w:rFonts w:hint="eastAsia" w:ascii="宋体" w:hAnsi="宋体" w:eastAsia="宋体" w:cs="宋体"/>
                <w:color w:val="000000"/>
                <w:sz w:val="18"/>
                <w:szCs w:val="24"/>
                <w:highlight w:val="none"/>
                <w:lang w:eastAsia="zh-CN" w:bidi="ar-SA"/>
              </w:rPr>
              <w:t>年通过测试</w:t>
            </w:r>
          </w:p>
        </w:tc>
      </w:tr>
    </w:tbl>
    <w:p>
      <w:pPr>
        <w:jc w:val="center"/>
        <w:rPr>
          <w:rFonts w:asciiTheme="majorEastAsia" w:hAnsiTheme="majorEastAsia" w:eastAsiaTheme="majorEastAsia"/>
          <w:b/>
          <w:sz w:val="36"/>
          <w:szCs w:val="36"/>
          <w:highlight w:val="none"/>
          <w:lang w:eastAsia="zh-CN"/>
        </w:rPr>
        <w:sectPr>
          <w:pgSz w:w="16840" w:h="11907" w:orient="landscape"/>
          <w:pgMar w:top="1134" w:right="1134" w:bottom="1134" w:left="1134" w:header="851" w:footer="992" w:gutter="0"/>
          <w:cols w:space="425" w:num="1"/>
          <w:docGrid w:type="linesAndChars" w:linePitch="312" w:charSpace="0"/>
        </w:sectPr>
      </w:pPr>
    </w:p>
    <w:p>
      <w:pPr>
        <w:rPr>
          <w:rFonts w:hint="eastAsia" w:asciiTheme="majorEastAsia" w:hAnsiTheme="majorEastAsia" w:eastAsiaTheme="majorEastAsia"/>
          <w:sz w:val="32"/>
          <w:szCs w:val="32"/>
          <w:highlight w:val="none"/>
          <w:lang w:eastAsia="zh-CN"/>
        </w:rPr>
      </w:pPr>
      <w:r>
        <w:rPr>
          <w:rFonts w:hint="eastAsia" w:asciiTheme="majorEastAsia" w:hAnsiTheme="majorEastAsia" w:eastAsiaTheme="majorEastAsia"/>
          <w:sz w:val="32"/>
          <w:szCs w:val="32"/>
          <w:highlight w:val="none"/>
          <w:lang w:eastAsia="zh-CN"/>
        </w:rPr>
        <w:t>附件2</w:t>
      </w:r>
    </w:p>
    <w:p>
      <w:pPr>
        <w:rPr>
          <w:rFonts w:hint="eastAsia" w:asciiTheme="majorEastAsia" w:hAnsiTheme="majorEastAsia" w:eastAsiaTheme="majorEastAsia"/>
          <w:sz w:val="32"/>
          <w:szCs w:val="32"/>
          <w:highlight w:val="none"/>
          <w:lang w:eastAsia="zh-CN"/>
        </w:rPr>
      </w:pPr>
      <w:r>
        <w:rPr>
          <w:highlight w:val="none"/>
        </w:rPr>
        <w:drawing>
          <wp:inline distT="0" distB="0" distL="114300" distR="114300">
            <wp:extent cx="6096000" cy="3429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096000" cy="3429000"/>
                    </a:xfrm>
                    <a:prstGeom prst="rect">
                      <a:avLst/>
                    </a:prstGeom>
                    <a:noFill/>
                    <a:ln>
                      <a:noFill/>
                    </a:ln>
                  </pic:spPr>
                </pic:pic>
              </a:graphicData>
            </a:graphic>
          </wp:inline>
        </w:drawing>
      </w:r>
    </w:p>
    <w:p>
      <w:pPr>
        <w:rPr>
          <w:rFonts w:hint="eastAsia" w:asciiTheme="majorEastAsia" w:hAnsiTheme="majorEastAsia" w:eastAsiaTheme="majorEastAsia"/>
          <w:sz w:val="32"/>
          <w:szCs w:val="32"/>
          <w:highlight w:val="none"/>
          <w:lang w:eastAsia="zh-CN"/>
        </w:rPr>
      </w:pPr>
      <w:r>
        <w:rPr>
          <w:highlight w:val="none"/>
        </w:rPr>
        <w:drawing>
          <wp:inline distT="0" distB="0" distL="114300" distR="114300">
            <wp:extent cx="6096000" cy="3429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096000" cy="342900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114300" distR="114300">
            <wp:extent cx="6096000" cy="3429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096000" cy="3429000"/>
                    </a:xfrm>
                    <a:prstGeom prst="rect">
                      <a:avLst/>
                    </a:prstGeom>
                    <a:noFill/>
                    <a:ln>
                      <a:noFill/>
                    </a:ln>
                  </pic:spPr>
                </pic:pic>
              </a:graphicData>
            </a:graphic>
          </wp:inline>
        </w:drawing>
      </w:r>
    </w:p>
    <w:p>
      <w:pPr>
        <w:rPr>
          <w:highlight w:val="none"/>
        </w:rPr>
      </w:pPr>
    </w:p>
    <w:p>
      <w:pPr>
        <w:rPr>
          <w:highlight w:val="none"/>
        </w:rPr>
      </w:pPr>
      <w:r>
        <w:rPr>
          <w:highlight w:val="none"/>
        </w:rPr>
        <w:drawing>
          <wp:inline distT="0" distB="0" distL="114300" distR="114300">
            <wp:extent cx="6096000" cy="342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096000" cy="342900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114300" distR="114300">
            <wp:extent cx="6096000" cy="3429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6096000" cy="3429000"/>
                    </a:xfrm>
                    <a:prstGeom prst="rect">
                      <a:avLst/>
                    </a:prstGeom>
                    <a:noFill/>
                    <a:ln>
                      <a:noFill/>
                    </a:ln>
                  </pic:spPr>
                </pic:pic>
              </a:graphicData>
            </a:graphic>
          </wp:inline>
        </w:drawing>
      </w:r>
    </w:p>
    <w:p>
      <w:pPr>
        <w:rPr>
          <w:highlight w:val="none"/>
        </w:rPr>
      </w:pPr>
      <w:r>
        <w:rPr>
          <w:highlight w:val="none"/>
        </w:rPr>
        <w:drawing>
          <wp:inline distT="0" distB="0" distL="114300" distR="114300">
            <wp:extent cx="6096000" cy="3429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6096000" cy="342900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highlight w:val="none"/>
        </w:rPr>
        <w:drawing>
          <wp:inline distT="0" distB="0" distL="114300" distR="114300">
            <wp:extent cx="6096000" cy="3429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6096000" cy="3429000"/>
                    </a:xfrm>
                    <a:prstGeom prst="rect">
                      <a:avLst/>
                    </a:prstGeom>
                    <a:noFill/>
                    <a:ln>
                      <a:noFill/>
                    </a:ln>
                  </pic:spPr>
                </pic:pic>
              </a:graphicData>
            </a:graphic>
          </wp:inline>
        </w:drawing>
      </w:r>
    </w:p>
    <w:p>
      <w:pPr>
        <w:rPr>
          <w:highlight w:val="none"/>
        </w:rPr>
      </w:pPr>
    </w:p>
    <w:p>
      <w:pPr>
        <w:rPr>
          <w:highlight w:val="none"/>
        </w:rPr>
      </w:pPr>
    </w:p>
    <w:p>
      <w:pPr>
        <w:rPr>
          <w:highlight w:val="none"/>
        </w:rPr>
      </w:pPr>
    </w:p>
    <w:p>
      <w:pPr>
        <w:rPr>
          <w:highlight w:val="none"/>
        </w:rPr>
      </w:pPr>
    </w:p>
    <w:p>
      <w:pPr>
        <w:rPr>
          <w:highlight w:val="none"/>
        </w:rPr>
      </w:pPr>
    </w:p>
    <w:p>
      <w:pPr>
        <w:ind w:firstLine="303"/>
        <w:rPr>
          <w:highlight w:val="none"/>
          <w:lang w:eastAsia="zh-CN"/>
        </w:rPr>
      </w:pPr>
    </w:p>
    <w:sectPr>
      <w:pgSz w:w="11907" w:h="16840"/>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16C"/>
    <w:rsid w:val="00011D38"/>
    <w:rsid w:val="00073952"/>
    <w:rsid w:val="000873E8"/>
    <w:rsid w:val="00092C2C"/>
    <w:rsid w:val="000A0362"/>
    <w:rsid w:val="000D2218"/>
    <w:rsid w:val="001519F5"/>
    <w:rsid w:val="001974AF"/>
    <w:rsid w:val="001B2540"/>
    <w:rsid w:val="002C045F"/>
    <w:rsid w:val="002C0E19"/>
    <w:rsid w:val="00306470"/>
    <w:rsid w:val="00340B4D"/>
    <w:rsid w:val="003C65AA"/>
    <w:rsid w:val="003E3B9E"/>
    <w:rsid w:val="0046596A"/>
    <w:rsid w:val="004A01C8"/>
    <w:rsid w:val="004D24A2"/>
    <w:rsid w:val="0057197A"/>
    <w:rsid w:val="005D3AD3"/>
    <w:rsid w:val="005E707C"/>
    <w:rsid w:val="0060116C"/>
    <w:rsid w:val="0061092C"/>
    <w:rsid w:val="00635553"/>
    <w:rsid w:val="006D60F2"/>
    <w:rsid w:val="006D72BA"/>
    <w:rsid w:val="00700121"/>
    <w:rsid w:val="007D5286"/>
    <w:rsid w:val="007E164C"/>
    <w:rsid w:val="007E3EEA"/>
    <w:rsid w:val="007F4754"/>
    <w:rsid w:val="00815BF5"/>
    <w:rsid w:val="00875364"/>
    <w:rsid w:val="0091512C"/>
    <w:rsid w:val="00971AB3"/>
    <w:rsid w:val="009D6CF0"/>
    <w:rsid w:val="00A549B8"/>
    <w:rsid w:val="00A6589D"/>
    <w:rsid w:val="00A844F6"/>
    <w:rsid w:val="00B231C4"/>
    <w:rsid w:val="00B278C8"/>
    <w:rsid w:val="00C64994"/>
    <w:rsid w:val="00C921DC"/>
    <w:rsid w:val="00CD1332"/>
    <w:rsid w:val="00CF4549"/>
    <w:rsid w:val="00D80D33"/>
    <w:rsid w:val="00E63459"/>
    <w:rsid w:val="00EA4C94"/>
    <w:rsid w:val="00ED20FF"/>
    <w:rsid w:val="00EF182B"/>
    <w:rsid w:val="00F6104F"/>
    <w:rsid w:val="00F80493"/>
    <w:rsid w:val="109E7B6B"/>
    <w:rsid w:val="1E42791A"/>
    <w:rsid w:val="23323EAA"/>
    <w:rsid w:val="283B4C6E"/>
    <w:rsid w:val="2A0D2C7F"/>
    <w:rsid w:val="2AF33055"/>
    <w:rsid w:val="35727AB1"/>
    <w:rsid w:val="361B301F"/>
    <w:rsid w:val="392535E1"/>
    <w:rsid w:val="3FDC1D96"/>
    <w:rsid w:val="46DB38CF"/>
    <w:rsid w:val="4BB811C5"/>
    <w:rsid w:val="4DCC016A"/>
    <w:rsid w:val="50FE15EF"/>
    <w:rsid w:val="56A027EA"/>
    <w:rsid w:val="5CDB3109"/>
    <w:rsid w:val="5E8126F9"/>
    <w:rsid w:val="76C51386"/>
    <w:rsid w:val="7F5D7B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en-US"/>
    </w:rPr>
  </w:style>
  <w:style w:type="paragraph" w:styleId="2">
    <w:name w:val="heading 1"/>
    <w:basedOn w:val="1"/>
    <w:next w:val="1"/>
    <w:link w:val="2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6"/>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7"/>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9"/>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30"/>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31"/>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32"/>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33"/>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34"/>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semiHidden/>
    <w:unhideWhenUsed/>
    <w:qFormat/>
    <w:uiPriority w:val="99"/>
    <w:pPr>
      <w:ind w:firstLine="420" w:firstLineChars="200"/>
    </w:pPr>
  </w:style>
  <w:style w:type="paragraph" w:styleId="12">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3">
    <w:name w:val="Balloon Text"/>
    <w:basedOn w:val="1"/>
    <w:link w:val="28"/>
    <w:semiHidden/>
    <w:unhideWhenUsed/>
    <w:qFormat/>
    <w:uiPriority w:val="99"/>
    <w:pPr>
      <w:spacing w:line="240" w:lineRule="auto"/>
    </w:pPr>
    <w:rPr>
      <w:sz w:val="18"/>
      <w:szCs w:val="18"/>
    </w:rPr>
  </w:style>
  <w:style w:type="paragraph" w:styleId="14">
    <w:name w:val="footer"/>
    <w:basedOn w:val="1"/>
    <w:link w:val="52"/>
    <w:semiHidden/>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51"/>
    <w:semiHidden/>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Subtitle"/>
    <w:basedOn w:val="1"/>
    <w:next w:val="1"/>
    <w:link w:val="3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7">
    <w:name w:val="Normal (Web)"/>
    <w:basedOn w:val="1"/>
    <w:semiHidden/>
    <w:unhideWhenUsed/>
    <w:qFormat/>
    <w:uiPriority w:val="99"/>
    <w:pPr>
      <w:spacing w:beforeAutospacing="1" w:after="0" w:afterAutospacing="1"/>
    </w:pPr>
    <w:rPr>
      <w:rFonts w:cs="Times New Roman"/>
      <w:sz w:val="24"/>
      <w:lang w:eastAsia="zh-CN" w:bidi="ar-SA"/>
    </w:rPr>
  </w:style>
  <w:style w:type="paragraph" w:styleId="18">
    <w:name w:val="Title"/>
    <w:basedOn w:val="1"/>
    <w:next w:val="1"/>
    <w:link w:val="3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styleId="21">
    <w:name w:val="Strong"/>
    <w:basedOn w:val="20"/>
    <w:qFormat/>
    <w:uiPriority w:val="22"/>
    <w:rPr>
      <w:b/>
      <w:bCs/>
    </w:rPr>
  </w:style>
  <w:style w:type="character" w:styleId="22">
    <w:name w:val="FollowedHyperlink"/>
    <w:basedOn w:val="20"/>
    <w:semiHidden/>
    <w:unhideWhenUsed/>
    <w:qFormat/>
    <w:uiPriority w:val="99"/>
    <w:rPr>
      <w:color w:val="800080"/>
      <w:u w:val="single"/>
    </w:rPr>
  </w:style>
  <w:style w:type="character" w:styleId="23">
    <w:name w:val="Emphasis"/>
    <w:basedOn w:val="20"/>
    <w:qFormat/>
    <w:uiPriority w:val="20"/>
    <w:rPr>
      <w:i/>
      <w:iCs/>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customStyle="1" w:styleId="25">
    <w:name w:val="标题 1 字符"/>
    <w:basedOn w:val="20"/>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26">
    <w:name w:val="标题 2 字符"/>
    <w:basedOn w:val="20"/>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7">
    <w:name w:val="标题 3 字符"/>
    <w:basedOn w:val="20"/>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8">
    <w:name w:val="批注框文本 字符"/>
    <w:basedOn w:val="20"/>
    <w:link w:val="13"/>
    <w:semiHidden/>
    <w:qFormat/>
    <w:uiPriority w:val="99"/>
    <w:rPr>
      <w:rFonts w:ascii="宋体" w:hAnsi="宋体"/>
      <w:color w:val="000000"/>
      <w:sz w:val="18"/>
      <w:szCs w:val="18"/>
    </w:rPr>
  </w:style>
  <w:style w:type="character" w:customStyle="1" w:styleId="29">
    <w:name w:val="标题 4 字符"/>
    <w:basedOn w:val="20"/>
    <w:link w:val="5"/>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0">
    <w:name w:val="标题 5 字符"/>
    <w:basedOn w:val="20"/>
    <w:link w:val="6"/>
    <w:qFormat/>
    <w:uiPriority w:val="9"/>
    <w:rPr>
      <w:rFonts w:asciiTheme="majorHAnsi" w:hAnsiTheme="majorHAnsi" w:eastAsiaTheme="majorEastAsia" w:cstheme="majorBidi"/>
      <w:color w:val="254061" w:themeColor="accent1" w:themeShade="80"/>
    </w:rPr>
  </w:style>
  <w:style w:type="character" w:customStyle="1" w:styleId="31">
    <w:name w:val="标题 6 字符"/>
    <w:basedOn w:val="20"/>
    <w:link w:val="7"/>
    <w:qFormat/>
    <w:uiPriority w:val="9"/>
    <w:rPr>
      <w:rFonts w:asciiTheme="majorHAnsi" w:hAnsiTheme="majorHAnsi" w:eastAsiaTheme="majorEastAsia" w:cstheme="majorBidi"/>
      <w:i/>
      <w:iCs/>
      <w:color w:val="254061" w:themeColor="accent1" w:themeShade="80"/>
    </w:rPr>
  </w:style>
  <w:style w:type="character" w:customStyle="1" w:styleId="32">
    <w:name w:val="标题 7 字符"/>
    <w:basedOn w:val="20"/>
    <w:link w:val="8"/>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33">
    <w:name w:val="标题 8 字符"/>
    <w:basedOn w:val="20"/>
    <w:link w:val="9"/>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34">
    <w:name w:val="标题 9 字符"/>
    <w:basedOn w:val="20"/>
    <w:link w:val="10"/>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5">
    <w:name w:val="标题 字符"/>
    <w:basedOn w:val="20"/>
    <w:link w:val="18"/>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36">
    <w:name w:val="副标题 字符"/>
    <w:basedOn w:val="20"/>
    <w:link w:val="1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37">
    <w:name w:val="No Spacing"/>
    <w:qFormat/>
    <w:uiPriority w:val="1"/>
    <w:rPr>
      <w:rFonts w:asciiTheme="minorHAnsi" w:hAnsiTheme="minorHAnsi" w:eastAsiaTheme="minorEastAsia" w:cstheme="minorBidi"/>
      <w:sz w:val="22"/>
      <w:szCs w:val="22"/>
      <w:lang w:val="en-US" w:eastAsia="en-US" w:bidi="en-US"/>
    </w:rPr>
  </w:style>
  <w:style w:type="paragraph" w:styleId="38">
    <w:name w:val="List Paragraph"/>
    <w:basedOn w:val="1"/>
    <w:qFormat/>
    <w:uiPriority w:val="34"/>
    <w:pPr>
      <w:ind w:left="720"/>
      <w:contextualSpacing/>
    </w:pPr>
  </w:style>
  <w:style w:type="paragraph" w:styleId="39">
    <w:name w:val="Quote"/>
    <w:basedOn w:val="1"/>
    <w:next w:val="1"/>
    <w:link w:val="40"/>
    <w:qFormat/>
    <w:uiPriority w:val="29"/>
    <w:rPr>
      <w:i/>
      <w:iCs/>
      <w:color w:val="000000" w:themeColor="text1"/>
      <w14:textFill>
        <w14:solidFill>
          <w14:schemeClr w14:val="tx1"/>
        </w14:solidFill>
      </w14:textFill>
    </w:rPr>
  </w:style>
  <w:style w:type="character" w:customStyle="1" w:styleId="40">
    <w:name w:val="引用 字符"/>
    <w:basedOn w:val="20"/>
    <w:link w:val="39"/>
    <w:qFormat/>
    <w:uiPriority w:val="29"/>
    <w:rPr>
      <w:i/>
      <w:iCs/>
      <w:color w:val="000000" w:themeColor="text1"/>
      <w14:textFill>
        <w14:solidFill>
          <w14:schemeClr w14:val="tx1"/>
        </w14:solidFill>
      </w14:textFill>
    </w:rPr>
  </w:style>
  <w:style w:type="paragraph" w:styleId="41">
    <w:name w:val="Intense Quote"/>
    <w:basedOn w:val="1"/>
    <w:next w:val="1"/>
    <w:link w:val="42"/>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42">
    <w:name w:val="明显引用 字符"/>
    <w:basedOn w:val="20"/>
    <w:link w:val="41"/>
    <w:qFormat/>
    <w:uiPriority w:val="30"/>
    <w:rPr>
      <w:b/>
      <w:bCs/>
      <w:i/>
      <w:iCs/>
      <w:color w:val="4F81BD" w:themeColor="accent1"/>
      <w14:textFill>
        <w14:solidFill>
          <w14:schemeClr w14:val="accent1"/>
        </w14:solidFill>
      </w14:textFill>
    </w:rPr>
  </w:style>
  <w:style w:type="character" w:customStyle="1" w:styleId="43">
    <w:name w:val="不明显强调1"/>
    <w:basedOn w:val="20"/>
    <w:qFormat/>
    <w:uiPriority w:val="19"/>
    <w:rPr>
      <w:i/>
      <w:iCs/>
      <w:color w:val="808080" w:themeColor="text1" w:themeTint="80"/>
      <w14:textFill>
        <w14:solidFill>
          <w14:schemeClr w14:val="tx1">
            <w14:lumMod w14:val="50000"/>
            <w14:lumOff w14:val="50000"/>
          </w14:schemeClr>
        </w14:solidFill>
      </w14:textFill>
    </w:rPr>
  </w:style>
  <w:style w:type="character" w:customStyle="1" w:styleId="44">
    <w:name w:val="明显强调1"/>
    <w:basedOn w:val="20"/>
    <w:qFormat/>
    <w:uiPriority w:val="21"/>
    <w:rPr>
      <w:b/>
      <w:bCs/>
      <w:i/>
      <w:iCs/>
      <w:color w:val="4F81BD" w:themeColor="accent1"/>
      <w14:textFill>
        <w14:solidFill>
          <w14:schemeClr w14:val="accent1"/>
        </w14:solidFill>
      </w14:textFill>
    </w:rPr>
  </w:style>
  <w:style w:type="character" w:customStyle="1" w:styleId="45">
    <w:name w:val="不明显参考1"/>
    <w:basedOn w:val="20"/>
    <w:qFormat/>
    <w:uiPriority w:val="31"/>
    <w:rPr>
      <w:smallCaps/>
      <w:color w:val="C0504D" w:themeColor="accent2"/>
      <w:u w:val="single"/>
      <w14:textFill>
        <w14:solidFill>
          <w14:schemeClr w14:val="accent2"/>
        </w14:solidFill>
      </w14:textFill>
    </w:rPr>
  </w:style>
  <w:style w:type="character" w:customStyle="1" w:styleId="46">
    <w:name w:val="明显参考1"/>
    <w:basedOn w:val="20"/>
    <w:qFormat/>
    <w:uiPriority w:val="32"/>
    <w:rPr>
      <w:b/>
      <w:bCs/>
      <w:smallCaps/>
      <w:color w:val="C0504D" w:themeColor="accent2"/>
      <w:spacing w:val="5"/>
      <w:u w:val="single"/>
      <w14:textFill>
        <w14:solidFill>
          <w14:schemeClr w14:val="accent2"/>
        </w14:solidFill>
      </w14:textFill>
    </w:rPr>
  </w:style>
  <w:style w:type="character" w:customStyle="1" w:styleId="47">
    <w:name w:val="书籍标题1"/>
    <w:basedOn w:val="20"/>
    <w:qFormat/>
    <w:uiPriority w:val="33"/>
    <w:rPr>
      <w:b/>
      <w:bCs/>
      <w:smallCaps/>
      <w:spacing w:val="5"/>
    </w:rPr>
  </w:style>
  <w:style w:type="paragraph" w:customStyle="1" w:styleId="48">
    <w:name w:val="TOC 标题1"/>
    <w:basedOn w:val="2"/>
    <w:next w:val="1"/>
    <w:semiHidden/>
    <w:unhideWhenUsed/>
    <w:qFormat/>
    <w:uiPriority w:val="39"/>
    <w:pPr>
      <w:outlineLvl w:val="9"/>
    </w:pPr>
  </w:style>
  <w:style w:type="paragraph" w:customStyle="1" w:styleId="49">
    <w:name w:val="font5"/>
    <w:basedOn w:val="1"/>
    <w:qFormat/>
    <w:uiPriority w:val="0"/>
    <w:pPr>
      <w:spacing w:before="100" w:beforeAutospacing="1" w:after="100" w:afterAutospacing="1" w:line="240" w:lineRule="auto"/>
    </w:pPr>
    <w:rPr>
      <w:rFonts w:ascii="宋体" w:hAnsi="宋体" w:eastAsia="宋体" w:cs="宋体"/>
      <w:sz w:val="18"/>
      <w:szCs w:val="18"/>
      <w:lang w:eastAsia="zh-CN" w:bidi="ar-SA"/>
    </w:rPr>
  </w:style>
  <w:style w:type="paragraph" w:customStyle="1" w:styleId="50">
    <w:name w:val="xl65"/>
    <w:basedOn w:val="1"/>
    <w:qFormat/>
    <w:uiPriority w:val="0"/>
    <w:pPr>
      <w:spacing w:before="100" w:beforeAutospacing="1" w:after="100" w:afterAutospacing="1" w:line="240" w:lineRule="auto"/>
      <w:jc w:val="center"/>
    </w:pPr>
    <w:rPr>
      <w:rFonts w:ascii="宋体" w:hAnsi="宋体" w:eastAsia="宋体" w:cs="宋体"/>
      <w:sz w:val="24"/>
      <w:szCs w:val="24"/>
      <w:lang w:eastAsia="zh-CN" w:bidi="ar-SA"/>
    </w:rPr>
  </w:style>
  <w:style w:type="character" w:customStyle="1" w:styleId="51">
    <w:name w:val="页眉 字符"/>
    <w:basedOn w:val="20"/>
    <w:link w:val="15"/>
    <w:semiHidden/>
    <w:qFormat/>
    <w:uiPriority w:val="99"/>
    <w:rPr>
      <w:sz w:val="18"/>
      <w:szCs w:val="18"/>
    </w:rPr>
  </w:style>
  <w:style w:type="character" w:customStyle="1" w:styleId="52">
    <w:name w:val="页脚 字符"/>
    <w:basedOn w:val="20"/>
    <w:link w:val="1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Pages>
  <Words>127</Words>
  <Characters>728</Characters>
  <Lines>6</Lines>
  <Paragraphs>1</Paragraphs>
  <TotalTime>11</TotalTime>
  <ScaleCrop>false</ScaleCrop>
  <LinksUpToDate>false</LinksUpToDate>
  <CharactersWithSpaces>854</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2021-11-01T01:13:00Z</dcterms:created>
  <dc:creator>USER-</dc:creator>
  <cp:lastModifiedBy>徐</cp:lastModifiedBy>
  <cp:lastPrinted>2018-10-16T07:26:00Z</cp:lastPrinted>
  <dcterms:modified xsi:type="dcterms:W3CDTF">2023-09-18T02:40:06Z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