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FFDFD">
      <w:pPr>
        <w:ind w:right="618"/>
        <w:jc w:val="left"/>
        <w:rPr>
          <w:szCs w:val="32"/>
        </w:rPr>
      </w:pPr>
      <w:r>
        <w:rPr>
          <w:szCs w:val="32"/>
        </w:rPr>
        <w:t>附件</w:t>
      </w:r>
    </w:p>
    <w:p w14:paraId="59896F23">
      <w:pPr>
        <w:ind w:right="-3"/>
        <w:jc w:val="center"/>
        <w:rPr>
          <w:rFonts w:eastAsia="公文小标宋简"/>
          <w:b/>
          <w:bCs/>
          <w:sz w:val="36"/>
          <w:szCs w:val="36"/>
        </w:rPr>
      </w:pPr>
      <w:r>
        <w:rPr>
          <w:rFonts w:eastAsia="公文小标宋简"/>
          <w:b/>
          <w:bCs/>
          <w:sz w:val="36"/>
          <w:szCs w:val="36"/>
        </w:rPr>
        <w:t>2024年武汉市社会事务进入中小学校园市级事项白名单</w:t>
      </w:r>
    </w:p>
    <w:tbl>
      <w:tblPr>
        <w:tblStyle w:val="3"/>
        <w:tblW w:w="13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2552"/>
        <w:gridCol w:w="2268"/>
        <w:gridCol w:w="6954"/>
      </w:tblGrid>
      <w:tr w14:paraId="7A37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87" w:type="dxa"/>
            <w:vAlign w:val="center"/>
          </w:tcPr>
          <w:p w14:paraId="456A30B0">
            <w:pPr>
              <w:jc w:val="center"/>
              <w:rPr>
                <w:sz w:val="21"/>
                <w:szCs w:val="21"/>
              </w:rPr>
            </w:pPr>
            <w:r>
              <w:rPr>
                <w:sz w:val="21"/>
                <w:szCs w:val="21"/>
              </w:rPr>
              <w:t>事项名称</w:t>
            </w:r>
          </w:p>
        </w:tc>
        <w:tc>
          <w:tcPr>
            <w:tcW w:w="2552" w:type="dxa"/>
            <w:vAlign w:val="center"/>
          </w:tcPr>
          <w:p w14:paraId="1AD01AFD">
            <w:pPr>
              <w:jc w:val="center"/>
              <w:rPr>
                <w:sz w:val="21"/>
                <w:szCs w:val="21"/>
              </w:rPr>
            </w:pPr>
            <w:r>
              <w:rPr>
                <w:sz w:val="21"/>
                <w:szCs w:val="21"/>
              </w:rPr>
              <w:t>事项内容</w:t>
            </w:r>
          </w:p>
        </w:tc>
        <w:tc>
          <w:tcPr>
            <w:tcW w:w="2268" w:type="dxa"/>
            <w:vAlign w:val="center"/>
          </w:tcPr>
          <w:p w14:paraId="296DADA0">
            <w:pPr>
              <w:jc w:val="center"/>
              <w:rPr>
                <w:sz w:val="21"/>
                <w:szCs w:val="21"/>
              </w:rPr>
            </w:pPr>
            <w:r>
              <w:rPr>
                <w:sz w:val="21"/>
                <w:szCs w:val="21"/>
              </w:rPr>
              <w:t>牵头</w:t>
            </w:r>
          </w:p>
          <w:p w14:paraId="58AD4743">
            <w:pPr>
              <w:jc w:val="center"/>
              <w:rPr>
                <w:sz w:val="21"/>
                <w:szCs w:val="21"/>
              </w:rPr>
            </w:pPr>
            <w:r>
              <w:rPr>
                <w:sz w:val="21"/>
                <w:szCs w:val="21"/>
              </w:rPr>
              <w:t>实施单位</w:t>
            </w:r>
          </w:p>
        </w:tc>
        <w:tc>
          <w:tcPr>
            <w:tcW w:w="6954" w:type="dxa"/>
            <w:vAlign w:val="center"/>
          </w:tcPr>
          <w:p w14:paraId="5FFAD68D">
            <w:pPr>
              <w:jc w:val="center"/>
              <w:rPr>
                <w:sz w:val="21"/>
                <w:szCs w:val="21"/>
              </w:rPr>
            </w:pPr>
            <w:r>
              <w:rPr>
                <w:sz w:val="21"/>
                <w:szCs w:val="21"/>
              </w:rPr>
              <w:t>开展依据</w:t>
            </w:r>
          </w:p>
        </w:tc>
      </w:tr>
      <w:tr w14:paraId="09B5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1" w:hRule="atLeast"/>
          <w:jc w:val="center"/>
        </w:trPr>
        <w:tc>
          <w:tcPr>
            <w:tcW w:w="1687" w:type="dxa"/>
            <w:vAlign w:val="center"/>
          </w:tcPr>
          <w:p w14:paraId="6B7B3FF0">
            <w:pPr>
              <w:spacing w:line="240" w:lineRule="exact"/>
              <w:jc w:val="center"/>
              <w:rPr>
                <w:sz w:val="21"/>
                <w:szCs w:val="21"/>
              </w:rPr>
            </w:pPr>
            <w:r>
              <w:rPr>
                <w:sz w:val="21"/>
                <w:szCs w:val="21"/>
              </w:rPr>
              <w:t>安全教育进校园</w:t>
            </w:r>
            <w:r>
              <w:rPr>
                <w:rFonts w:hint="eastAsia"/>
                <w:sz w:val="21"/>
                <w:szCs w:val="21"/>
              </w:rPr>
              <w:t>事项</w:t>
            </w:r>
          </w:p>
        </w:tc>
        <w:tc>
          <w:tcPr>
            <w:tcW w:w="2552" w:type="dxa"/>
            <w:vAlign w:val="center"/>
          </w:tcPr>
          <w:p w14:paraId="489568A4">
            <w:pPr>
              <w:spacing w:line="240" w:lineRule="exact"/>
              <w:jc w:val="center"/>
              <w:rPr>
                <w:sz w:val="21"/>
                <w:szCs w:val="21"/>
              </w:rPr>
            </w:pPr>
            <w:r>
              <w:rPr>
                <w:sz w:val="21"/>
                <w:szCs w:val="21"/>
              </w:rPr>
              <w:t>防溺水教育</w:t>
            </w:r>
          </w:p>
          <w:p w14:paraId="2916E699">
            <w:pPr>
              <w:spacing w:line="240" w:lineRule="exact"/>
              <w:jc w:val="center"/>
              <w:rPr>
                <w:sz w:val="21"/>
                <w:szCs w:val="21"/>
              </w:rPr>
            </w:pPr>
            <w:r>
              <w:rPr>
                <w:sz w:val="21"/>
                <w:szCs w:val="21"/>
              </w:rPr>
              <w:t>消防安全教育</w:t>
            </w:r>
          </w:p>
          <w:p w14:paraId="3EABA21D">
            <w:pPr>
              <w:spacing w:line="240" w:lineRule="exact"/>
              <w:jc w:val="center"/>
              <w:rPr>
                <w:sz w:val="21"/>
                <w:szCs w:val="21"/>
              </w:rPr>
            </w:pPr>
            <w:r>
              <w:rPr>
                <w:sz w:val="21"/>
                <w:szCs w:val="21"/>
              </w:rPr>
              <w:t>禁毒及药物滥用危害教育</w:t>
            </w:r>
          </w:p>
        </w:tc>
        <w:tc>
          <w:tcPr>
            <w:tcW w:w="2268" w:type="dxa"/>
            <w:vAlign w:val="center"/>
          </w:tcPr>
          <w:p w14:paraId="1247D3AC">
            <w:pPr>
              <w:spacing w:line="240" w:lineRule="exact"/>
              <w:jc w:val="center"/>
              <w:rPr>
                <w:sz w:val="21"/>
                <w:szCs w:val="21"/>
              </w:rPr>
            </w:pPr>
            <w:r>
              <w:rPr>
                <w:sz w:val="21"/>
                <w:szCs w:val="21"/>
              </w:rPr>
              <w:t>市应急管理局</w:t>
            </w:r>
          </w:p>
          <w:p w14:paraId="559C730C">
            <w:pPr>
              <w:spacing w:line="240" w:lineRule="exact"/>
              <w:jc w:val="center"/>
              <w:rPr>
                <w:sz w:val="21"/>
                <w:szCs w:val="21"/>
              </w:rPr>
            </w:pPr>
            <w:r>
              <w:rPr>
                <w:sz w:val="21"/>
                <w:szCs w:val="21"/>
              </w:rPr>
              <w:t>市消防救援总队</w:t>
            </w:r>
          </w:p>
          <w:p w14:paraId="0045785E">
            <w:pPr>
              <w:spacing w:line="240" w:lineRule="exact"/>
              <w:jc w:val="center"/>
              <w:rPr>
                <w:sz w:val="21"/>
                <w:szCs w:val="21"/>
              </w:rPr>
            </w:pPr>
            <w:r>
              <w:rPr>
                <w:sz w:val="21"/>
                <w:szCs w:val="21"/>
              </w:rPr>
              <w:t>市禁毒办</w:t>
            </w:r>
          </w:p>
        </w:tc>
        <w:tc>
          <w:tcPr>
            <w:tcW w:w="6954" w:type="dxa"/>
            <w:vAlign w:val="center"/>
          </w:tcPr>
          <w:p w14:paraId="004B4988">
            <w:pPr>
              <w:spacing w:line="240" w:lineRule="exact"/>
              <w:rPr>
                <w:sz w:val="21"/>
                <w:szCs w:val="21"/>
              </w:rPr>
            </w:pPr>
            <w:r>
              <w:rPr>
                <w:sz w:val="21"/>
                <w:szCs w:val="21"/>
              </w:rPr>
              <w:t>《湖北省学校安全条例》，省政府办公厅《关于进一步做好未成年人防溺水工作的通知》（鄂政办电〔2024〕6号）；教育部办公厅 国家消防救援局办公室《关于印发中小学校、幼儿园、消防安全十项规定》</w:t>
            </w:r>
            <w:r>
              <w:rPr>
                <w:rFonts w:hint="eastAsia"/>
                <w:sz w:val="21"/>
                <w:szCs w:val="21"/>
              </w:rPr>
              <w:t>（</w:t>
            </w:r>
            <w:r>
              <w:rPr>
                <w:sz w:val="21"/>
                <w:szCs w:val="21"/>
              </w:rPr>
              <w:t>教发厅〔2024〕1号</w:t>
            </w:r>
            <w:r>
              <w:rPr>
                <w:rFonts w:hint="eastAsia"/>
                <w:sz w:val="21"/>
                <w:szCs w:val="21"/>
              </w:rPr>
              <w:t>）</w:t>
            </w:r>
            <w:r>
              <w:rPr>
                <w:sz w:val="21"/>
                <w:szCs w:val="21"/>
              </w:rPr>
              <w:t>，《湖北省学校消防安全教育工作规程》；中宣部等十一部门《关于印发防范青少年滥用涉麻精药品等成瘾性物质宣传教育活动方案的通知》（禁毒办通〔2024〕5号）等</w:t>
            </w:r>
          </w:p>
        </w:tc>
      </w:tr>
      <w:tr w14:paraId="77A3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687" w:type="dxa"/>
            <w:vAlign w:val="center"/>
          </w:tcPr>
          <w:p w14:paraId="2469F377">
            <w:pPr>
              <w:spacing w:line="240" w:lineRule="exact"/>
              <w:jc w:val="center"/>
              <w:rPr>
                <w:sz w:val="21"/>
                <w:szCs w:val="21"/>
              </w:rPr>
            </w:pPr>
            <w:r>
              <w:rPr>
                <w:rFonts w:hAnsi="华文仿宋" w:eastAsia="华文仿宋"/>
                <w:sz w:val="21"/>
                <w:szCs w:val="21"/>
              </w:rPr>
              <w:t>科学文化进校园</w:t>
            </w:r>
            <w:r>
              <w:rPr>
                <w:rFonts w:hint="eastAsia" w:hAnsi="华文仿宋" w:eastAsia="华文仿宋"/>
                <w:sz w:val="21"/>
                <w:szCs w:val="21"/>
              </w:rPr>
              <w:t>事项</w:t>
            </w:r>
          </w:p>
        </w:tc>
        <w:tc>
          <w:tcPr>
            <w:tcW w:w="2552" w:type="dxa"/>
            <w:vAlign w:val="center"/>
          </w:tcPr>
          <w:p w14:paraId="454BB75B">
            <w:pPr>
              <w:spacing w:line="240" w:lineRule="exact"/>
              <w:jc w:val="center"/>
              <w:rPr>
                <w:rFonts w:eastAsia="华文仿宋"/>
                <w:sz w:val="21"/>
                <w:szCs w:val="21"/>
              </w:rPr>
            </w:pPr>
            <w:r>
              <w:rPr>
                <w:rFonts w:hAnsi="华文仿宋" w:eastAsia="华文仿宋"/>
                <w:sz w:val="21"/>
                <w:szCs w:val="21"/>
              </w:rPr>
              <w:t>戏曲进校园</w:t>
            </w:r>
          </w:p>
          <w:p w14:paraId="31D3D6D0">
            <w:pPr>
              <w:spacing w:line="240" w:lineRule="exact"/>
              <w:jc w:val="center"/>
              <w:rPr>
                <w:rFonts w:eastAsia="华文仿宋"/>
                <w:sz w:val="21"/>
                <w:szCs w:val="21"/>
              </w:rPr>
            </w:pPr>
            <w:r>
              <w:rPr>
                <w:rFonts w:hAnsi="华文仿宋" w:eastAsia="华文仿宋"/>
                <w:sz w:val="21"/>
                <w:szCs w:val="21"/>
              </w:rPr>
              <w:t>青少年科普</w:t>
            </w:r>
          </w:p>
        </w:tc>
        <w:tc>
          <w:tcPr>
            <w:tcW w:w="2268" w:type="dxa"/>
            <w:vAlign w:val="center"/>
          </w:tcPr>
          <w:p w14:paraId="6FF85061">
            <w:pPr>
              <w:spacing w:line="240" w:lineRule="exact"/>
              <w:jc w:val="center"/>
              <w:rPr>
                <w:sz w:val="21"/>
                <w:szCs w:val="21"/>
              </w:rPr>
            </w:pPr>
            <w:r>
              <w:rPr>
                <w:sz w:val="21"/>
                <w:szCs w:val="21"/>
              </w:rPr>
              <w:t>市委宣传部</w:t>
            </w:r>
          </w:p>
          <w:p w14:paraId="1DD8CB1D">
            <w:pPr>
              <w:spacing w:line="240" w:lineRule="exact"/>
              <w:jc w:val="center"/>
              <w:rPr>
                <w:sz w:val="21"/>
                <w:szCs w:val="21"/>
              </w:rPr>
            </w:pPr>
            <w:r>
              <w:rPr>
                <w:sz w:val="21"/>
                <w:szCs w:val="21"/>
              </w:rPr>
              <w:t>市文旅局</w:t>
            </w:r>
          </w:p>
          <w:p w14:paraId="2A8B614D">
            <w:pPr>
              <w:spacing w:line="240" w:lineRule="exact"/>
              <w:jc w:val="center"/>
              <w:rPr>
                <w:sz w:val="21"/>
                <w:szCs w:val="21"/>
              </w:rPr>
            </w:pPr>
            <w:r>
              <w:rPr>
                <w:sz w:val="21"/>
                <w:szCs w:val="21"/>
              </w:rPr>
              <w:t>市科协</w:t>
            </w:r>
          </w:p>
        </w:tc>
        <w:tc>
          <w:tcPr>
            <w:tcW w:w="6954" w:type="dxa"/>
            <w:vAlign w:val="center"/>
          </w:tcPr>
          <w:p w14:paraId="4C2BCD31">
            <w:pPr>
              <w:spacing w:line="240" w:lineRule="exact"/>
              <w:rPr>
                <w:sz w:val="21"/>
                <w:szCs w:val="21"/>
              </w:rPr>
            </w:pPr>
            <w:r>
              <w:rPr>
                <w:sz w:val="21"/>
                <w:szCs w:val="21"/>
              </w:rPr>
              <w:t>国务院办公厅《关于支持戏曲传承发展的若干政策》（国办发〔2015〕52号），中宣部等四部委《关于戏曲进校园的实施意见》（中宣发〔2017〕26号），省委宣传部 省教育厅 省文化厅 省文艺界联合会《关于开展戏曲进校园活动的指导意见》 （鄂宣文〔2016〕64号）；中国科协 教育部《关于印发“科学家（精神）进校园行动”实施方案》（科协发宣字〔2023〕30号）等</w:t>
            </w:r>
          </w:p>
        </w:tc>
      </w:tr>
      <w:tr w14:paraId="4E74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687" w:type="dxa"/>
            <w:vAlign w:val="center"/>
          </w:tcPr>
          <w:p w14:paraId="7973891C">
            <w:pPr>
              <w:spacing w:line="240" w:lineRule="exact"/>
              <w:jc w:val="center"/>
              <w:rPr>
                <w:rFonts w:eastAsia="华文仿宋"/>
                <w:sz w:val="21"/>
                <w:szCs w:val="21"/>
              </w:rPr>
            </w:pPr>
            <w:r>
              <w:rPr>
                <w:rFonts w:hAnsi="华文仿宋" w:eastAsia="华文仿宋"/>
                <w:sz w:val="21"/>
                <w:szCs w:val="21"/>
              </w:rPr>
              <w:t>法治教育进校园</w:t>
            </w:r>
            <w:r>
              <w:rPr>
                <w:rFonts w:hint="eastAsia" w:hAnsi="华文仿宋" w:eastAsia="华文仿宋"/>
                <w:sz w:val="21"/>
                <w:szCs w:val="21"/>
              </w:rPr>
              <w:t>事项</w:t>
            </w:r>
          </w:p>
        </w:tc>
        <w:tc>
          <w:tcPr>
            <w:tcW w:w="2552" w:type="dxa"/>
            <w:vAlign w:val="center"/>
          </w:tcPr>
          <w:p w14:paraId="78FCB35B">
            <w:pPr>
              <w:spacing w:line="240" w:lineRule="exact"/>
              <w:jc w:val="center"/>
              <w:rPr>
                <w:rFonts w:eastAsia="华文仿宋"/>
                <w:sz w:val="21"/>
                <w:szCs w:val="21"/>
              </w:rPr>
            </w:pPr>
            <w:r>
              <w:rPr>
                <w:rFonts w:hAnsi="华文仿宋" w:eastAsia="华文仿宋"/>
                <w:sz w:val="21"/>
                <w:szCs w:val="21"/>
              </w:rPr>
              <w:t>预防未成年人犯罪法教育</w:t>
            </w:r>
          </w:p>
          <w:p w14:paraId="3A672724">
            <w:pPr>
              <w:spacing w:line="240" w:lineRule="exact"/>
              <w:jc w:val="center"/>
              <w:rPr>
                <w:rFonts w:eastAsia="华文仿宋"/>
                <w:sz w:val="21"/>
                <w:szCs w:val="21"/>
              </w:rPr>
            </w:pPr>
            <w:r>
              <w:rPr>
                <w:rFonts w:hAnsi="华文仿宋" w:eastAsia="华文仿宋"/>
                <w:sz w:val="21"/>
                <w:szCs w:val="21"/>
              </w:rPr>
              <w:t>开展防暴力伤害教育</w:t>
            </w:r>
          </w:p>
          <w:p w14:paraId="5EB30593">
            <w:pPr>
              <w:spacing w:line="240" w:lineRule="exact"/>
              <w:jc w:val="center"/>
              <w:rPr>
                <w:rFonts w:eastAsia="华文仿宋"/>
                <w:sz w:val="21"/>
                <w:szCs w:val="21"/>
              </w:rPr>
            </w:pPr>
            <w:r>
              <w:rPr>
                <w:rFonts w:hAnsi="华文仿宋" w:eastAsia="华文仿宋"/>
                <w:sz w:val="21"/>
                <w:szCs w:val="21"/>
              </w:rPr>
              <w:t>防欺凌、防性侵教育</w:t>
            </w:r>
          </w:p>
          <w:p w14:paraId="4F24D6BB">
            <w:pPr>
              <w:spacing w:line="240" w:lineRule="exact"/>
              <w:jc w:val="center"/>
              <w:rPr>
                <w:rFonts w:eastAsia="华文仿宋"/>
                <w:sz w:val="21"/>
                <w:szCs w:val="21"/>
              </w:rPr>
            </w:pPr>
            <w:r>
              <w:rPr>
                <w:rFonts w:hAnsi="华文仿宋" w:eastAsia="华文仿宋"/>
                <w:sz w:val="21"/>
                <w:szCs w:val="21"/>
              </w:rPr>
              <w:t>预防网络有害信息教育</w:t>
            </w:r>
          </w:p>
        </w:tc>
        <w:tc>
          <w:tcPr>
            <w:tcW w:w="2268" w:type="dxa"/>
            <w:vAlign w:val="center"/>
          </w:tcPr>
          <w:p w14:paraId="2B2CC41C">
            <w:pPr>
              <w:spacing w:line="240" w:lineRule="exact"/>
              <w:jc w:val="center"/>
              <w:rPr>
                <w:sz w:val="21"/>
                <w:szCs w:val="21"/>
              </w:rPr>
            </w:pPr>
            <w:r>
              <w:rPr>
                <w:sz w:val="21"/>
                <w:szCs w:val="21"/>
              </w:rPr>
              <w:t>市司法局</w:t>
            </w:r>
          </w:p>
          <w:p w14:paraId="5AA4C371">
            <w:pPr>
              <w:spacing w:line="240" w:lineRule="exact"/>
              <w:jc w:val="center"/>
              <w:rPr>
                <w:sz w:val="21"/>
                <w:szCs w:val="21"/>
              </w:rPr>
            </w:pPr>
            <w:r>
              <w:rPr>
                <w:sz w:val="21"/>
                <w:szCs w:val="21"/>
              </w:rPr>
              <w:t>市公安局</w:t>
            </w:r>
          </w:p>
          <w:p w14:paraId="218BAA87">
            <w:pPr>
              <w:spacing w:line="240" w:lineRule="exact"/>
              <w:jc w:val="center"/>
              <w:rPr>
                <w:sz w:val="21"/>
                <w:szCs w:val="21"/>
              </w:rPr>
            </w:pPr>
            <w:r>
              <w:rPr>
                <w:sz w:val="21"/>
                <w:szCs w:val="21"/>
              </w:rPr>
              <w:t>市检察院</w:t>
            </w:r>
          </w:p>
          <w:p w14:paraId="6348FCEE">
            <w:pPr>
              <w:spacing w:line="240" w:lineRule="exact"/>
              <w:jc w:val="center"/>
              <w:rPr>
                <w:sz w:val="21"/>
                <w:szCs w:val="21"/>
              </w:rPr>
            </w:pPr>
            <w:r>
              <w:rPr>
                <w:sz w:val="21"/>
                <w:szCs w:val="21"/>
              </w:rPr>
              <w:t>市</w:t>
            </w:r>
            <w:r>
              <w:rPr>
                <w:rFonts w:hint="eastAsia"/>
                <w:sz w:val="21"/>
                <w:szCs w:val="21"/>
              </w:rPr>
              <w:t>委</w:t>
            </w:r>
            <w:r>
              <w:rPr>
                <w:sz w:val="21"/>
                <w:szCs w:val="21"/>
              </w:rPr>
              <w:t>网信办</w:t>
            </w:r>
          </w:p>
        </w:tc>
        <w:tc>
          <w:tcPr>
            <w:tcW w:w="6954" w:type="dxa"/>
            <w:vAlign w:val="center"/>
          </w:tcPr>
          <w:p w14:paraId="3E15B88D">
            <w:pPr>
              <w:spacing w:line="240" w:lineRule="exact"/>
              <w:rPr>
                <w:sz w:val="21"/>
                <w:szCs w:val="21"/>
              </w:rPr>
            </w:pPr>
            <w:r>
              <w:rPr>
                <w:sz w:val="21"/>
                <w:szCs w:val="21"/>
              </w:rPr>
              <w:t>中共中央 国务院转发《中宣部、司法部关于开展法治宣传教育的第八个五年规划》（中发〔2021〕26号），最高人民检察院 教育部《关于开展“法治进校园”全国巡讲活动的方案的通知》（高检会〔2016〕8号），公安部办公厅 中央政法委办公厅 教育部办公厅《2024年全国中小学幼儿园“护校安园”专项行动方案》（公治安〔2024〕790号）；中央网信办《关于印发网信系统法治宣传教育第八个五年规划（2021-2025 ）》等</w:t>
            </w:r>
          </w:p>
        </w:tc>
      </w:tr>
      <w:tr w14:paraId="09AF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687" w:type="dxa"/>
            <w:vAlign w:val="center"/>
          </w:tcPr>
          <w:p w14:paraId="440989E1">
            <w:pPr>
              <w:spacing w:line="240" w:lineRule="exact"/>
              <w:jc w:val="center"/>
              <w:rPr>
                <w:rFonts w:eastAsia="华文仿宋"/>
                <w:sz w:val="21"/>
                <w:szCs w:val="21"/>
              </w:rPr>
            </w:pPr>
            <w:r>
              <w:rPr>
                <w:rFonts w:hAnsi="华文仿宋" w:eastAsia="华文仿宋"/>
                <w:sz w:val="21"/>
                <w:szCs w:val="21"/>
              </w:rPr>
              <w:t>健康教育进校园</w:t>
            </w:r>
            <w:r>
              <w:rPr>
                <w:rFonts w:hint="eastAsia" w:hAnsi="华文仿宋" w:eastAsia="华文仿宋"/>
                <w:sz w:val="21"/>
                <w:szCs w:val="21"/>
              </w:rPr>
              <w:t>事项</w:t>
            </w:r>
          </w:p>
        </w:tc>
        <w:tc>
          <w:tcPr>
            <w:tcW w:w="2552" w:type="dxa"/>
            <w:vAlign w:val="center"/>
          </w:tcPr>
          <w:p w14:paraId="7F729904">
            <w:pPr>
              <w:spacing w:line="240" w:lineRule="exact"/>
              <w:jc w:val="center"/>
              <w:rPr>
                <w:rFonts w:eastAsia="华文仿宋"/>
                <w:sz w:val="21"/>
                <w:szCs w:val="21"/>
              </w:rPr>
            </w:pPr>
            <w:r>
              <w:rPr>
                <w:rFonts w:hAnsi="华文仿宋" w:eastAsia="华文仿宋"/>
                <w:sz w:val="21"/>
                <w:szCs w:val="21"/>
              </w:rPr>
              <w:t>近视防控及疾病防治宣教</w:t>
            </w:r>
          </w:p>
          <w:p w14:paraId="66CE015D">
            <w:pPr>
              <w:spacing w:line="240" w:lineRule="exact"/>
              <w:jc w:val="center"/>
              <w:rPr>
                <w:rFonts w:eastAsia="华文仿宋"/>
                <w:sz w:val="21"/>
                <w:szCs w:val="21"/>
              </w:rPr>
            </w:pPr>
            <w:r>
              <w:rPr>
                <w:rFonts w:hAnsi="华文仿宋" w:eastAsia="华文仿宋"/>
                <w:sz w:val="21"/>
                <w:szCs w:val="21"/>
              </w:rPr>
              <w:t>体教融合</w:t>
            </w:r>
          </w:p>
        </w:tc>
        <w:tc>
          <w:tcPr>
            <w:tcW w:w="2268" w:type="dxa"/>
            <w:vAlign w:val="center"/>
          </w:tcPr>
          <w:p w14:paraId="3D58ADCB">
            <w:pPr>
              <w:spacing w:line="240" w:lineRule="exact"/>
              <w:jc w:val="center"/>
              <w:rPr>
                <w:sz w:val="21"/>
                <w:szCs w:val="21"/>
              </w:rPr>
            </w:pPr>
            <w:r>
              <w:rPr>
                <w:sz w:val="21"/>
                <w:szCs w:val="21"/>
              </w:rPr>
              <w:t>市卫健委</w:t>
            </w:r>
          </w:p>
          <w:p w14:paraId="5E566346">
            <w:pPr>
              <w:spacing w:line="240" w:lineRule="exact"/>
              <w:jc w:val="center"/>
              <w:rPr>
                <w:sz w:val="21"/>
                <w:szCs w:val="21"/>
              </w:rPr>
            </w:pPr>
            <w:r>
              <w:rPr>
                <w:sz w:val="21"/>
                <w:szCs w:val="21"/>
              </w:rPr>
              <w:t>市体育局</w:t>
            </w:r>
          </w:p>
        </w:tc>
        <w:tc>
          <w:tcPr>
            <w:tcW w:w="6954" w:type="dxa"/>
            <w:vAlign w:val="center"/>
          </w:tcPr>
          <w:p w14:paraId="701B392B">
            <w:pPr>
              <w:spacing w:line="240" w:lineRule="exact"/>
              <w:rPr>
                <w:sz w:val="21"/>
                <w:szCs w:val="21"/>
              </w:rPr>
            </w:pPr>
            <w:r>
              <w:rPr>
                <w:sz w:val="21"/>
                <w:szCs w:val="21"/>
              </w:rPr>
              <w:t>《“健康中国2030”规划纲要》，国家疾控局等10部委《全国疾病预防控制行动方案（2024—2025年）》（国疾控规财发〔2024〕11号）；体育总局 教育部《关于印发深化体教融合促进青少年健康发展意见的通知》（体发〔2020〕1号）等</w:t>
            </w:r>
          </w:p>
        </w:tc>
      </w:tr>
    </w:tbl>
    <w:p w14:paraId="1F447206">
      <w:pPr>
        <w:spacing w:line="300" w:lineRule="exact"/>
      </w:pPr>
      <w:r>
        <w:rPr>
          <w:rFonts w:eastAsia="华文楷体"/>
          <w:b/>
          <w:bCs/>
          <w:sz w:val="24"/>
          <w:szCs w:val="24"/>
        </w:rPr>
        <w:t xml:space="preserve">    </w:t>
      </w:r>
      <w:r>
        <w:rPr>
          <w:rFonts w:hAnsi="华文楷体" w:eastAsia="华文楷体"/>
          <w:b/>
          <w:bCs/>
          <w:sz w:val="24"/>
          <w:szCs w:val="24"/>
        </w:rPr>
        <w:t>注：市直其他部门申请事项，由牵头单位提出申请并提供教育资源，经市级教育行政部门审核后，交由市教科院根据教育教学实际进行整合转化，纳入教育教学指导方案，指导中小学校将其融入课堂教学、主题活动、班团队会中，不再单独安排。</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jYxNDQ5ZjEwYjg5MGYwMWM1ZmY3NWE0MmEyYTkifQ=="/>
  </w:docVars>
  <w:rsids>
    <w:rsidRoot w:val="54D870B4"/>
    <w:rsid w:val="54D87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rPr>
  </w:style>
  <w:style w:type="character" w:styleId="5">
    <w:name w:val="page number"/>
    <w:basedOn w:val="4"/>
    <w:semiHidden/>
    <w:qFormat/>
    <w:uiPriority w:val="0"/>
    <w:rPr>
      <w:rFonts w:eastAsia="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2024-08-21T09:11:00Z</dcterms:created>
  <dc:creator>Y O</dc:creator>
  <cp:lastModifiedBy>Y O</cp:lastModifiedBy>
  <dcterms:modified xsi:type="dcterms:W3CDTF">2024-08-21T09:11:59Z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A5FE8DED31E0495A84789D1A8DFC2265_11</vt:lpwstr>
  </property>
</Properties>
</file>