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附件2</w:t>
      </w:r>
    </w:p>
    <w:p>
      <w:pPr>
        <w:jc w:val="center"/>
        <w:rPr>
          <w:rFonts w:eastAsia="公文小标宋简"/>
          <w:bCs/>
          <w:color w:val="000000" w:themeColor="text1"/>
          <w:sz w:val="36"/>
          <w:szCs w:val="36"/>
        </w:rPr>
      </w:pPr>
      <w:r>
        <w:rPr>
          <w:rFonts w:eastAsia="公文小标宋简"/>
          <w:b/>
          <w:color w:val="000000" w:themeColor="text1"/>
          <w:sz w:val="36"/>
          <w:szCs w:val="36"/>
        </w:rPr>
        <w:t>武汉市2023年社区教育实验项目</w:t>
      </w:r>
    </w:p>
    <w:p>
      <w:pPr>
        <w:jc w:val="center"/>
        <w:rPr>
          <w:rFonts w:eastAsia="楷体_GB2312"/>
          <w:bCs/>
          <w:color w:val="000000" w:themeColor="text1"/>
          <w:sz w:val="32"/>
          <w:szCs w:val="32"/>
        </w:rPr>
      </w:pPr>
      <w:r>
        <w:rPr>
          <w:rFonts w:eastAsia="楷体_GB2312"/>
          <w:bCs/>
          <w:color w:val="000000" w:themeColor="text1"/>
          <w:sz w:val="32"/>
          <w:szCs w:val="32"/>
        </w:rPr>
        <w:t>（18个）</w:t>
      </w:r>
    </w:p>
    <w:tbl>
      <w:tblPr>
        <w:tblStyle w:val="10"/>
        <w:tblW w:w="14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437"/>
        <w:gridCol w:w="3850"/>
        <w:gridCol w:w="1462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</w:rPr>
              <w:t>各区</w:t>
            </w:r>
          </w:p>
        </w:tc>
        <w:tc>
          <w:tcPr>
            <w:tcW w:w="443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</w:rPr>
              <w:t>实验项目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</w:rPr>
              <w:t>承办单位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江岸区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丹水池街道社区教育分校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助力阳光家园健康发展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江岸区丹水池街道办事处公共服务办公室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  华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丁迎芬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黎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睿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余春英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后湖社区教育街道分校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引领社区教学点不断扩容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江岸区后湖街道办事处公共服务办公室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涂智峰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华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夏殳可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江汉区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汉兴街道江汉里社区远程化数字教学项目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江汉区汉兴街道江汉里社区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熊敏江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任莲芳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喻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楷体"/>
                <w:bCs/>
                <w:color w:val="000000" w:themeColor="text1"/>
                <w:sz w:val="28"/>
                <w:szCs w:val="28"/>
              </w:rPr>
              <w:t>硚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口区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社校联动，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探索“科技与生命”跨学科项目式学习模式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硚口区宗关街道社区教育办公室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袁  波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尹梦婷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王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军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汪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武昌区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公民素养大课堂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武昌区社区教育学院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黄  琳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李晓芳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黄艺林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徐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 xml:space="preserve">扬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青山区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心轻松 心飞扬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（开展、推送心理健康精品课程的实验）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青山区青宫青少年社会工作服务中心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邓云星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李肖璇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邓丽华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晏灵敏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老有所乐（老年教育及其赋能提质实验）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青山区钢花村街道121社区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郑玲莉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李红丽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李文妮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张奕嘉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实践·体验·收获，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助力青少年校外素质教育实验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青山区工人村街青雅居社区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玲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吴孝梅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王贤诩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五社联动聚力，全民终身学习，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推动新时代社区治理现代化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青山区冶金街道南干渠社区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谭秀凤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容诗慧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黄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梦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周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洪山区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以百读书社为基地开展阅读活动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助推青少年校外素质教育的实验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洪山区珞南街理工大东社区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曹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薇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贺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东西湖区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“趣学24节气”亲子文化教育项目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东西湖区径河街长墩堤社区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熊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峰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易娅婷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罗孟君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胡晓庆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“毛毛虫阅读小站”亲子阅读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东西湖区吴家山街社区教育学校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梁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敏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江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莹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刘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菁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时晓雪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蔡甸区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智慧助老，助力社区治理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蔡甸区社区教育学院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黄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勇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彭珊珊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黄陂区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探索乡村旅游经济振兴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发挥社区教育功能的实验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黄陂区木兰乡教育总支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彭支平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陈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力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何世一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陈汉桥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新洲区</w:t>
            </w: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发掘展示地域文化资源的实验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新洲区仓埠街社区教育学校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林新华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甘咏梅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夏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莉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张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传承问津文化，助力乡村振兴实验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新洲区旧街街社区教育学校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王联丰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左幼明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王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刚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张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龙丘红娘驿站服务社区民生实验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新洲区三店街社区教育学校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洪春苔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万福喜  陈  玲  洪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家庭家教家风教育实验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新洲区邾城街社区教育学校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郭啟东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罗春华  陈友祥  汪  玲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5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6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Tg3NzM5OGM0NDJlMmEyZmY4YTU2ODY1NDMxMjlmODgifQ=="/>
  </w:docVars>
  <w:rsids>
    <w:rsidRoot w:val="001E5A15"/>
    <w:rsid w:val="0011432A"/>
    <w:rsid w:val="001E5A15"/>
    <w:rsid w:val="003E29AB"/>
    <w:rsid w:val="00482C50"/>
    <w:rsid w:val="007F09D6"/>
    <w:rsid w:val="044F7522"/>
    <w:rsid w:val="0F696B20"/>
    <w:rsid w:val="0FF82DE9"/>
    <w:rsid w:val="1AE724CE"/>
    <w:rsid w:val="1FF468DA"/>
    <w:rsid w:val="22401962"/>
    <w:rsid w:val="3C1934F8"/>
    <w:rsid w:val="4FD74E04"/>
    <w:rsid w:val="606721D5"/>
    <w:rsid w:val="62AD7C47"/>
    <w:rsid w:val="63051831"/>
    <w:rsid w:val="7B272834"/>
    <w:rsid w:val="7DA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iPriority w:val="0"/>
    <w:pPr>
      <w:ind w:firstLine="630"/>
    </w:pPr>
    <w:rPr>
      <w:rFonts w:eastAsia="仿宋_GB2312"/>
      <w:kern w:val="0"/>
      <w:sz w:val="32"/>
    </w:rPr>
  </w:style>
  <w:style w:type="paragraph" w:styleId="6">
    <w:name w:val="Date"/>
    <w:basedOn w:val="1"/>
    <w:next w:val="1"/>
    <w:semiHidden/>
    <w:uiPriority w:val="0"/>
    <w:rPr>
      <w:rFonts w:eastAsia="仿宋_GB2312"/>
      <w:sz w:val="32"/>
    </w:rPr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8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11">
    <w:name w:val="Table Grid"/>
    <w:basedOn w:val="10"/>
    <w:unhideWhenUs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semiHidden/>
    <w:qFormat/>
    <w:uiPriority w:val="0"/>
    <w:rPr>
      <w:rFonts w:eastAsia="宋体"/>
      <w:sz w:val="28"/>
    </w:rPr>
  </w:style>
  <w:style w:type="paragraph" w:customStyle="1" w:styleId="14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  <w:sz w:val="32"/>
    </w:rPr>
  </w:style>
  <w:style w:type="paragraph" w:customStyle="1" w:styleId="15">
    <w:name w:val="附件"/>
    <w:basedOn w:val="1"/>
    <w:uiPriority w:val="0"/>
    <w:pPr>
      <w:ind w:left="1638" w:hanging="1016"/>
    </w:pPr>
    <w:rPr>
      <w:rFonts w:eastAsia="仿宋_GB2312"/>
      <w:sz w:val="32"/>
    </w:rPr>
  </w:style>
  <w:style w:type="paragraph" w:customStyle="1" w:styleId="16">
    <w:name w:val="秘密紧急"/>
    <w:basedOn w:val="1"/>
    <w:uiPriority w:val="0"/>
    <w:pPr>
      <w:jc w:val="right"/>
    </w:pPr>
    <w:rPr>
      <w:rFonts w:ascii="黑体" w:eastAsia="黑体"/>
      <w:sz w:val="32"/>
    </w:rPr>
  </w:style>
  <w:style w:type="paragraph" w:customStyle="1" w:styleId="17">
    <w:name w:val="抄 送"/>
    <w:basedOn w:val="14"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6</Pages>
  <Words>316</Words>
  <Characters>1802</Characters>
  <Lines>15</Lines>
  <Paragraphs>4</Paragraphs>
  <TotalTime>15</TotalTime>
  <ScaleCrop>false</ScaleCrop>
  <LinksUpToDate>false</LinksUpToDate>
  <CharactersWithSpaces>2114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2023-12-15T09:15:00Z</dcterms:created>
  <dc:creator>USER-</dc:creator>
  <cp:lastModifiedBy>Y O</cp:lastModifiedBy>
  <cp:lastPrinted>2023-12-18T02:51:00Z</cp:lastPrinted>
  <dcterms:modified xsi:type="dcterms:W3CDTF">2023-12-19T08:32:59Z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DF83F53535A7456B8C2BA09B7E051D30_12</vt:lpwstr>
  </property>
</Properties>
</file>