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武汉市第十七届教师五项技能竞赛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决赛选手登记表</w:t>
      </w:r>
    </w:p>
    <w:tbl>
      <w:tblPr>
        <w:tblStyle w:val="9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81"/>
        <w:gridCol w:w="840"/>
        <w:gridCol w:w="737"/>
        <w:gridCol w:w="191"/>
        <w:gridCol w:w="1538"/>
        <w:gridCol w:w="11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从事教学工作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科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 段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□幼儿园   □小学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□初中 □高中  □高校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组别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-6"/>
                <w:sz w:val="24"/>
              </w:rPr>
              <w:t>文科      □ 理(工)科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□中职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组别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□基础学科  □专业学科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 历</w:t>
            </w:r>
          </w:p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（大学开始）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936" w:firstLineChars="25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近两年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主讲课程情  况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发表教学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936" w:firstLineChars="25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主主持、参与教学改革项目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教学奖励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6936" w:firstLineChars="25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50"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盖   章</w:t>
            </w:r>
          </w:p>
          <w:p>
            <w:pPr>
              <w:spacing w:line="360" w:lineRule="auto"/>
              <w:ind w:firstLine="1088" w:firstLineChars="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区教育工会、市属高校工会、中专工会工作研究会、局直属学校工会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 章</w:t>
            </w:r>
          </w:p>
          <w:p>
            <w:pPr>
              <w:spacing w:line="360" w:lineRule="auto"/>
              <w:ind w:firstLine="68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市教育工会意见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盖   章</w:t>
            </w:r>
          </w:p>
          <w:p>
            <w:pPr>
              <w:spacing w:line="360" w:lineRule="auto"/>
              <w:ind w:firstLine="5601" w:firstLineChars="205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注：请于6月29日前报市教育工会。此表用A4纸张正反打印填报。</w:t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附件3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教学设计评价要素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</w:p>
    <w:p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一、科学性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体现课程思政和新课程新课标理念。目标设定体现课型特征且具体明确，能正确确定教学重难点。教学内容安排适度，教学要求把握适当。教学要点实施具有操作性，教学流程循序渐进，清晰合理。教学目标和手段协调一致。本学科基础知识准确，相关学科知识引用恰当，准确。没有知识性、常识性和科学性错误。</w:t>
      </w:r>
    </w:p>
    <w:p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二、规范性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教学设计内容要有：教学目标、教学重点、教学难点、教材分析、学情分析、课型、教学时间分配、教学准备、教学方法、教学过程（含活动设计意图、学生活动预设、练习设计）等。教学资源及媒体运用合理。</w:t>
      </w:r>
    </w:p>
    <w:p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三、创新性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设计，要具有鲜明个性特色，以学生为主体，灵活运用教学方法，突出自主性、合作性、探究性学习方式。突破教学难点的方法具有新颖性和实效性；学法指导具体得当，有创新；教材解读有独到合理的见解。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说明：学前教育、中职学校、高等院校教师的教学设计方案，应充分考虑其课程内容及教育教学方式的特殊性。</w:t>
      </w:r>
    </w:p>
    <w:p>
      <w:pPr>
        <w:spacing w:line="530" w:lineRule="exac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  <w:r>
        <w:rPr>
          <w:rFonts w:eastAsia="仿宋_GB2312"/>
          <w:kern w:val="32"/>
          <w:sz w:val="32"/>
          <w:szCs w:val="32"/>
        </w:rPr>
        <w:t xml:space="preserve">附件4 </w:t>
      </w:r>
    </w:p>
    <w:p>
      <w:pPr>
        <w:spacing w:line="53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spacing w:line="53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教学演示评价要素</w:t>
      </w:r>
    </w:p>
    <w:p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一、教学展示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目标与实施：目标明确、具体、科学合理，面向全体、全面发展。把握课堂教学节奏，能主动调控教学过程。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教材的理解与处理：准确把握教材的文本价值和教学重、难点。创造性地整合教学内容。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教学过程：教学活动设计合理、有序，能体现学生主体作用。教学过程实施能够较好突出重点，突破难点，教学节奏感强，教学过程流畅。教学之中能体现德育思想的融入和渗透。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教学方法：注重启发式和讨论式教学，能整合各种资源，教学手段运用得当。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教学效果：达到预期目标、注意知识、能力、思想教育统一和谐；合理分配教学时间，有效完成教学各环节任务。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教态板书：教态自然，板书规范、严谨、美观。</w:t>
      </w:r>
    </w:p>
    <w:p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二、说课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围绕主要内容取舍有度，详略得当；条理清晰，层次分明，逻辑性强。能够对教学展示环节内容进行有效补充，并简要说明这样做的依据。</w:t>
      </w:r>
    </w:p>
    <w:p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三、现场答辩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针对本课教学设计和实施过程问题回答准确，语言流畅精炼，思维清晰层次分明，逻辑性强。对新课改理念理解正确，展现一定的教育教学综合素养。</w:t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附件5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 xml:space="preserve">教学反思评价要素 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自我评价：能够准确评判自己教学的优点和缺憾。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反思问题：能提出本节课还存在的问题，能反思寻找导致教学缺憾的原因。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课堂重建：能够反思自己本次教学实践的收获及悟出的道理；对不足之处有改进策略及设想。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反思阐述：文理通顺，层次清晰，语言</w:t>
      </w:r>
      <w:r>
        <w:rPr>
          <w:rFonts w:hint="eastAsia" w:eastAsia="仿宋_GB2312"/>
          <w:kern w:val="32"/>
          <w:sz w:val="32"/>
          <w:szCs w:val="32"/>
          <w:lang w:eastAsia="zh-CN"/>
        </w:rPr>
        <w:t>精练</w:t>
      </w:r>
      <w:r>
        <w:rPr>
          <w:rFonts w:eastAsia="仿宋_GB2312"/>
          <w:kern w:val="32"/>
          <w:sz w:val="32"/>
          <w:szCs w:val="32"/>
        </w:rPr>
        <w:t>，结论明确。</w:t>
      </w:r>
    </w:p>
    <w:p>
      <w:pPr>
        <w:widowControl/>
        <w:jc w:val="lef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附件6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 xml:space="preserve">案例分析评价要素 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观点：正确，鲜明。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分析：全面，透彻，准确；理据充分，逻辑严谨。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表达：文字通顺、准确。达到规定字数要求。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结构：层次清晰，结构完整。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书写：规范，工整、美观。</w:t>
      </w:r>
    </w:p>
    <w:p>
      <w:pPr>
        <w:widowControl/>
        <w:jc w:val="lef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附件7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 xml:space="preserve">综合展示评分要素 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领导推介：重点突出。特点鲜明。形式新颖。</w:t>
      </w:r>
    </w:p>
    <w:p>
      <w:pPr>
        <w:spacing w:afterLines="50"/>
        <w:ind w:firstLine="624"/>
        <w:rPr>
          <w:rFonts w:eastAsia="仿宋_GB2312"/>
          <w:kern w:val="32"/>
          <w:sz w:val="28"/>
          <w:szCs w:val="28"/>
        </w:rPr>
      </w:pPr>
      <w:r>
        <w:rPr>
          <w:rFonts w:eastAsia="仿宋_GB2312"/>
          <w:w w:val="95"/>
          <w:kern w:val="32"/>
          <w:sz w:val="32"/>
          <w:szCs w:val="32"/>
        </w:rPr>
        <w:t>自我展示：富有创新（意）性；有一定专业性；以选手为主完成。</w:t>
      </w:r>
    </w:p>
    <w:p>
      <w:pPr>
        <w:spacing w:afterLines="50"/>
        <w:ind w:firstLine="624"/>
        <w:rPr>
          <w:rFonts w:eastAsia="仿宋_GB2312"/>
          <w:w w:val="95"/>
          <w:kern w:val="32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spacing w:line="560" w:lineRule="exac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附件8</w:t>
      </w:r>
    </w:p>
    <w:p>
      <w:pPr>
        <w:spacing w:line="50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武汉市第十七届教师五项技能竞赛决赛参赛选手情况统计表</w:t>
      </w:r>
    </w:p>
    <w:p>
      <w:pPr>
        <w:spacing w:line="420" w:lineRule="exact"/>
        <w:ind w:firstLine="116" w:firstLineChars="5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填报单位（盖章）：                                          </w:t>
      </w:r>
    </w:p>
    <w:tbl>
      <w:tblPr>
        <w:tblStyle w:val="9"/>
        <w:tblW w:w="12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17"/>
        <w:gridCol w:w="709"/>
        <w:gridCol w:w="1843"/>
        <w:gridCol w:w="850"/>
        <w:gridCol w:w="1985"/>
        <w:gridCol w:w="992"/>
        <w:gridCol w:w="905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任教学段和年级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学科组别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注：1.参赛组别按幼儿园、小学、中学、中职、高校填报；    2.学科组别按文科、理</w:t>
      </w:r>
      <w:r>
        <w:rPr>
          <w:rFonts w:hint="eastAsia" w:eastAsia="仿宋_GB2312"/>
          <w:sz w:val="24"/>
        </w:rPr>
        <w:t>（工）科、基础学科和专业学科</w:t>
      </w:r>
      <w:r>
        <w:rPr>
          <w:rFonts w:eastAsia="仿宋_GB2312"/>
          <w:sz w:val="24"/>
        </w:rPr>
        <w:t>填报；</w:t>
      </w:r>
    </w:p>
    <w:p>
      <w:pPr>
        <w:spacing w:line="400" w:lineRule="exact"/>
        <w:ind w:firstLine="464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3.请将纸质版与电子版一并报市教育工会。</w:t>
      </w:r>
    </w:p>
    <w:p>
      <w:pPr>
        <w:ind w:firstLine="464" w:firstLineChars="200"/>
        <w:rPr>
          <w:rFonts w:eastAsia="仿宋_GB2312"/>
          <w:sz w:val="24"/>
        </w:rPr>
        <w:sectPr>
          <w:footerReference r:id="rId5" w:type="default"/>
          <w:footerReference r:id="rId6" w:type="even"/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AndChars" w:linePitch="573" w:charSpace="-1843"/>
        </w:sectPr>
      </w:pPr>
      <w:r>
        <w:rPr>
          <w:rFonts w:eastAsia="仿宋_GB2312"/>
          <w:sz w:val="24"/>
        </w:rPr>
        <w:t>填报人：               联系电话：                   填报时间：         年   月   日</w:t>
      </w:r>
    </w:p>
    <w:p>
      <w:pPr>
        <w:ind w:right="48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附件9</w:t>
      </w:r>
    </w:p>
    <w:p>
      <w:pPr>
        <w:ind w:right="55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</w:t>
      </w:r>
    </w:p>
    <w:p>
      <w:pPr>
        <w:ind w:right="55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组织奖申报表</w:t>
      </w:r>
    </w:p>
    <w:tbl>
      <w:tblPr>
        <w:tblStyle w:val="9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080"/>
        <w:gridCol w:w="1923"/>
        <w:gridCol w:w="915"/>
        <w:gridCol w:w="1125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 报 单 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本单位比赛时间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青年教师人数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参赛教师人数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参赛率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1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主要工作简介：</w:t>
            </w: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申报单位（章）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评审意见：</w:t>
            </w: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市教育工会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rPr>
          <w:rFonts w:eastAsia="仿宋_GB2312"/>
          <w:kern w:val="32"/>
          <w:sz w:val="28"/>
          <w:szCs w:val="28"/>
        </w:rPr>
      </w:pPr>
    </w:p>
    <w:sectPr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15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14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17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18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mirrorMargins w:val="true"/>
  <w:bordersDoNotSurroundHeader w:val="true"/>
  <w:bordersDoNotSurroundFooter w:val="true"/>
  <w:attachedTemplate r:id="rId1"/>
  <w:documentProtection w:enforcement="0"/>
  <w:defaultTabStop w:val="425"/>
  <w:evenAndOddHeaders w:val="true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6"/>
    <w:rsid w:val="00101A27"/>
    <w:rsid w:val="00124682"/>
    <w:rsid w:val="002279A3"/>
    <w:rsid w:val="00234B83"/>
    <w:rsid w:val="002D1A62"/>
    <w:rsid w:val="002D2368"/>
    <w:rsid w:val="0033101D"/>
    <w:rsid w:val="00352AD6"/>
    <w:rsid w:val="00356D89"/>
    <w:rsid w:val="0035766F"/>
    <w:rsid w:val="003849FA"/>
    <w:rsid w:val="0041224C"/>
    <w:rsid w:val="00432D0D"/>
    <w:rsid w:val="00451FC1"/>
    <w:rsid w:val="004630C0"/>
    <w:rsid w:val="00463200"/>
    <w:rsid w:val="0051622C"/>
    <w:rsid w:val="00542593"/>
    <w:rsid w:val="00547B92"/>
    <w:rsid w:val="00567F74"/>
    <w:rsid w:val="00573E57"/>
    <w:rsid w:val="005905F4"/>
    <w:rsid w:val="006018E0"/>
    <w:rsid w:val="006176A9"/>
    <w:rsid w:val="00632F1E"/>
    <w:rsid w:val="00655D9F"/>
    <w:rsid w:val="00773207"/>
    <w:rsid w:val="007C781A"/>
    <w:rsid w:val="007F6113"/>
    <w:rsid w:val="00805F95"/>
    <w:rsid w:val="008B269F"/>
    <w:rsid w:val="008B2C04"/>
    <w:rsid w:val="008E19C9"/>
    <w:rsid w:val="00925F4E"/>
    <w:rsid w:val="00992833"/>
    <w:rsid w:val="009D1202"/>
    <w:rsid w:val="00A63E45"/>
    <w:rsid w:val="00A97C06"/>
    <w:rsid w:val="00AA067D"/>
    <w:rsid w:val="00B70D35"/>
    <w:rsid w:val="00BF0B63"/>
    <w:rsid w:val="00CA28A0"/>
    <w:rsid w:val="00CC2262"/>
    <w:rsid w:val="00E5735F"/>
    <w:rsid w:val="00E76970"/>
    <w:rsid w:val="00EA3D1A"/>
    <w:rsid w:val="00EE4591"/>
    <w:rsid w:val="00EF5AEE"/>
    <w:rsid w:val="00F15474"/>
    <w:rsid w:val="00F5766C"/>
    <w:rsid w:val="00FB3AB6"/>
    <w:rsid w:val="0A0F6DEB"/>
    <w:rsid w:val="0B586E09"/>
    <w:rsid w:val="106870A5"/>
    <w:rsid w:val="11952C29"/>
    <w:rsid w:val="14DE7145"/>
    <w:rsid w:val="17421510"/>
    <w:rsid w:val="199F1706"/>
    <w:rsid w:val="1ADA6C8F"/>
    <w:rsid w:val="1C32503B"/>
    <w:rsid w:val="1DAB79D5"/>
    <w:rsid w:val="1F737C9E"/>
    <w:rsid w:val="21107923"/>
    <w:rsid w:val="2D3C76EE"/>
    <w:rsid w:val="2E8A48B2"/>
    <w:rsid w:val="3975405A"/>
    <w:rsid w:val="3F75558C"/>
    <w:rsid w:val="3FC45B66"/>
    <w:rsid w:val="45965F2E"/>
    <w:rsid w:val="47432840"/>
    <w:rsid w:val="4B4F0907"/>
    <w:rsid w:val="587F774C"/>
    <w:rsid w:val="5BA579DD"/>
    <w:rsid w:val="649A63F6"/>
    <w:rsid w:val="6B520CF9"/>
    <w:rsid w:val="70F64062"/>
    <w:rsid w:val="78974A72"/>
    <w:rsid w:val="FFE1E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Date"/>
    <w:basedOn w:val="1"/>
    <w:next w:val="1"/>
    <w:semiHidden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character" w:customStyle="1" w:styleId="13">
    <w:name w:val="页脚 Char"/>
    <w:basedOn w:val="10"/>
    <w:link w:val="7"/>
    <w:qFormat/>
    <w:uiPriority w:val="0"/>
    <w:rPr>
      <w:rFonts w:eastAsia="仿宋_GB2312"/>
      <w:kern w:val="2"/>
      <w:sz w:val="18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2"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18</Pages>
  <Words>862</Words>
  <Characters>4916</Characters>
  <Lines>40</Lines>
  <Paragraphs>11</Paragraphs>
  <TotalTime>8</TotalTime>
  <ScaleCrop>false</ScaleCrop>
  <LinksUpToDate>false</LinksUpToDate>
  <CharactersWithSpaces>5767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2021-01-28T11:27:00Z</dcterms:created>
  <dc:creator>USER-</dc:creator>
  <cp:lastModifiedBy>greatwall</cp:lastModifiedBy>
  <cp:lastPrinted>2021-01-22T10:27:00Z</cp:lastPrinted>
  <dcterms:modified xsi:type="dcterms:W3CDTF">2023-08-11T15:20:10Z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