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 w:leftChars="-1"/>
        <w:jc w:val="left"/>
        <w:rPr>
          <w:color w:val="000000"/>
          <w:kern w:val="0"/>
          <w:szCs w:val="32"/>
        </w:rPr>
      </w:pPr>
      <w:bookmarkStart w:id="0" w:name="_GoBack"/>
      <w:bookmarkEnd w:id="0"/>
      <w:r>
        <w:rPr>
          <w:color w:val="000000"/>
          <w:kern w:val="0"/>
          <w:szCs w:val="32"/>
        </w:rPr>
        <w:t>附件</w:t>
      </w:r>
    </w:p>
    <w:p>
      <w:pPr>
        <w:ind w:left="-3" w:leftChars="-1"/>
        <w:jc w:val="center"/>
        <w:rPr>
          <w:rFonts w:ascii="公文小标宋简" w:eastAsia="公文小标宋简"/>
          <w:b/>
          <w:color w:val="000000"/>
          <w:kern w:val="0"/>
          <w:sz w:val="36"/>
          <w:szCs w:val="36"/>
        </w:rPr>
      </w:pPr>
      <w:r>
        <w:rPr>
          <w:rFonts w:hint="eastAsia" w:ascii="公文小标宋简" w:eastAsia="公文小标宋简"/>
          <w:b/>
          <w:color w:val="000000"/>
          <w:kern w:val="0"/>
          <w:sz w:val="36"/>
          <w:szCs w:val="36"/>
        </w:rPr>
        <w:t>武汉市义务教育现代化学校建设工作自查情况表</w:t>
      </w:r>
    </w:p>
    <w:p>
      <w:pPr>
        <w:ind w:left="-3" w:leftChars="-1"/>
        <w:rPr>
          <w:rFonts w:eastAsiaTheme="majorEastAsia"/>
          <w:bCs/>
          <w:color w:val="000000"/>
          <w:kern w:val="0"/>
          <w:sz w:val="28"/>
          <w:szCs w:val="28"/>
        </w:rPr>
      </w:pPr>
      <w:r>
        <w:rPr>
          <w:rFonts w:eastAsiaTheme="majorEastAsia"/>
          <w:bCs/>
          <w:color w:val="000000"/>
          <w:kern w:val="0"/>
          <w:sz w:val="28"/>
          <w:szCs w:val="28"/>
          <w:u w:val="single"/>
        </w:rPr>
        <w:t xml:space="preserve">           </w:t>
      </w:r>
      <w:r>
        <w:rPr>
          <w:rFonts w:eastAsiaTheme="majorEastAsia"/>
          <w:bCs/>
          <w:color w:val="000000"/>
          <w:kern w:val="0"/>
          <w:sz w:val="28"/>
          <w:szCs w:val="28"/>
        </w:rPr>
        <w:t>区                填表日期：</w:t>
      </w:r>
      <w:r>
        <w:rPr>
          <w:rFonts w:eastAsiaTheme="majorEastAsia"/>
          <w:bCs/>
          <w:color w:val="000000"/>
          <w:kern w:val="0"/>
          <w:sz w:val="28"/>
          <w:szCs w:val="28"/>
          <w:u w:val="single"/>
        </w:rPr>
        <w:t xml:space="preserve">     </w:t>
      </w:r>
      <w:r>
        <w:rPr>
          <w:rFonts w:eastAsiaTheme="majorEastAsia"/>
          <w:bCs/>
          <w:color w:val="000000"/>
          <w:kern w:val="0"/>
          <w:sz w:val="28"/>
          <w:szCs w:val="28"/>
        </w:rPr>
        <w:t>年</w:t>
      </w:r>
      <w:r>
        <w:rPr>
          <w:rFonts w:eastAsiaTheme="majorEastAsia"/>
          <w:bCs/>
          <w:color w:val="000000"/>
          <w:kern w:val="0"/>
          <w:sz w:val="28"/>
          <w:szCs w:val="28"/>
          <w:u w:val="single"/>
        </w:rPr>
        <w:t xml:space="preserve">      </w:t>
      </w:r>
      <w:r>
        <w:rPr>
          <w:rFonts w:eastAsiaTheme="majorEastAsia"/>
          <w:bCs/>
          <w:color w:val="000000"/>
          <w:kern w:val="0"/>
          <w:sz w:val="28"/>
          <w:szCs w:val="28"/>
        </w:rPr>
        <w:t>月</w:t>
      </w:r>
      <w:r>
        <w:rPr>
          <w:rFonts w:eastAsiaTheme="majorEastAsia"/>
          <w:bCs/>
          <w:color w:val="000000"/>
          <w:kern w:val="0"/>
          <w:sz w:val="28"/>
          <w:szCs w:val="28"/>
          <w:u w:val="single"/>
        </w:rPr>
        <w:t xml:space="preserve">       </w:t>
      </w:r>
      <w:r>
        <w:rPr>
          <w:rFonts w:eastAsiaTheme="majorEastAsia"/>
          <w:bCs/>
          <w:color w:val="000000"/>
          <w:kern w:val="0"/>
          <w:sz w:val="28"/>
          <w:szCs w:val="28"/>
        </w:rPr>
        <w:t>日</w:t>
      </w:r>
    </w:p>
    <w:tbl>
      <w:tblPr>
        <w:tblStyle w:val="10"/>
        <w:tblW w:w="8731" w:type="dxa"/>
        <w:jc w:val="center"/>
        <w:tblLayout w:type="fixed"/>
        <w:tblCellMar>
          <w:top w:w="0" w:type="dxa"/>
          <w:left w:w="108" w:type="dxa"/>
          <w:bottom w:w="0" w:type="dxa"/>
          <w:right w:w="108" w:type="dxa"/>
        </w:tblCellMar>
      </w:tblPr>
      <w:tblGrid>
        <w:gridCol w:w="1048"/>
        <w:gridCol w:w="4219"/>
        <w:gridCol w:w="2130"/>
        <w:gridCol w:w="1334"/>
      </w:tblGrid>
      <w:tr>
        <w:tblPrEx>
          <w:tblCellMar>
            <w:top w:w="0" w:type="dxa"/>
            <w:left w:w="108" w:type="dxa"/>
            <w:bottom w:w="0" w:type="dxa"/>
            <w:right w:w="108" w:type="dxa"/>
          </w:tblCellMar>
        </w:tblPrEx>
        <w:trPr>
          <w:trHeight w:val="465" w:hRule="atLeast"/>
          <w:jc w:val="center"/>
        </w:trPr>
        <w:tc>
          <w:tcPr>
            <w:tcW w:w="1048" w:type="dxa"/>
            <w:tcBorders>
              <w:top w:val="single" w:color="000000" w:sz="4" w:space="0"/>
              <w:left w:val="single" w:color="000000" w:sz="4" w:space="0"/>
              <w:bottom w:val="single" w:color="000000" w:sz="4" w:space="0"/>
              <w:right w:val="single" w:color="auto" w:sz="4" w:space="0"/>
            </w:tcBorders>
            <w:shd w:val="clear" w:color="auto" w:fill="auto"/>
            <w:tcMar>
              <w:top w:w="15" w:type="dxa"/>
              <w:bottom w:w="15" w:type="dxa"/>
            </w:tcMar>
            <w:vAlign w:val="center"/>
          </w:tcPr>
          <w:p>
            <w:pPr>
              <w:widowControl/>
              <w:jc w:val="center"/>
              <w:rPr>
                <w:rFonts w:eastAsia="黑体"/>
                <w:color w:val="000000"/>
                <w:kern w:val="0"/>
                <w:sz w:val="22"/>
                <w:szCs w:val="22"/>
              </w:rPr>
            </w:pPr>
            <w:r>
              <w:rPr>
                <w:rFonts w:eastAsia="黑体"/>
                <w:color w:val="000000"/>
                <w:kern w:val="0"/>
                <w:sz w:val="22"/>
                <w:szCs w:val="22"/>
              </w:rPr>
              <w:t>内容</w:t>
            </w:r>
          </w:p>
        </w:tc>
        <w:tc>
          <w:tcPr>
            <w:tcW w:w="4219" w:type="dxa"/>
            <w:tcBorders>
              <w:top w:val="single" w:color="000000" w:sz="4" w:space="0"/>
              <w:left w:val="single" w:color="auto" w:sz="4" w:space="0"/>
              <w:bottom w:val="single" w:color="000000" w:sz="4" w:space="0"/>
              <w:right w:val="single" w:color="000000" w:sz="4" w:space="0"/>
            </w:tcBorders>
            <w:shd w:val="clear" w:color="auto" w:fill="auto"/>
            <w:tcMar>
              <w:top w:w="15" w:type="dxa"/>
              <w:bottom w:w="15" w:type="dxa"/>
            </w:tcMar>
            <w:vAlign w:val="center"/>
          </w:tcPr>
          <w:p>
            <w:pPr>
              <w:widowControl/>
              <w:jc w:val="center"/>
              <w:rPr>
                <w:rFonts w:eastAsia="黑体"/>
                <w:color w:val="000000"/>
                <w:kern w:val="0"/>
                <w:sz w:val="22"/>
                <w:szCs w:val="22"/>
              </w:rPr>
            </w:pPr>
            <w:r>
              <w:rPr>
                <w:rFonts w:eastAsia="黑体"/>
                <w:color w:val="000000"/>
                <w:kern w:val="0"/>
                <w:sz w:val="22"/>
                <w:szCs w:val="22"/>
              </w:rPr>
              <w:t>项  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center"/>
              <w:rPr>
                <w:rFonts w:eastAsia="黑体"/>
                <w:color w:val="000000"/>
                <w:kern w:val="0"/>
                <w:sz w:val="22"/>
                <w:szCs w:val="22"/>
              </w:rPr>
            </w:pPr>
            <w:r>
              <w:rPr>
                <w:rFonts w:eastAsia="黑体"/>
                <w:color w:val="000000"/>
                <w:kern w:val="0"/>
                <w:sz w:val="22"/>
                <w:szCs w:val="22"/>
              </w:rPr>
              <w:t>统计数据</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center"/>
              <w:rPr>
                <w:rFonts w:eastAsia="黑体"/>
                <w:color w:val="000000"/>
                <w:kern w:val="0"/>
                <w:sz w:val="22"/>
                <w:szCs w:val="22"/>
              </w:rPr>
            </w:pPr>
            <w:r>
              <w:rPr>
                <w:rFonts w:eastAsia="黑体"/>
                <w:color w:val="000000"/>
                <w:kern w:val="0"/>
                <w:sz w:val="22"/>
                <w:szCs w:val="22"/>
              </w:rPr>
              <w:t>备注</w:t>
            </w:r>
          </w:p>
        </w:tc>
      </w:tr>
      <w:tr>
        <w:tblPrEx>
          <w:tblCellMar>
            <w:top w:w="0" w:type="dxa"/>
            <w:left w:w="108" w:type="dxa"/>
            <w:bottom w:w="0" w:type="dxa"/>
            <w:right w:w="108" w:type="dxa"/>
          </w:tblCellMar>
        </w:tblPrEx>
        <w:trPr>
          <w:trHeight w:val="465"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center"/>
              <w:rPr>
                <w:color w:val="000000"/>
                <w:kern w:val="0"/>
                <w:sz w:val="20"/>
              </w:rPr>
            </w:pPr>
            <w:r>
              <w:rPr>
                <w:color w:val="000000"/>
                <w:kern w:val="0"/>
                <w:sz w:val="20"/>
              </w:rPr>
              <w:t>基本   情况</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center"/>
              <w:rPr>
                <w:color w:val="000000"/>
                <w:kern w:val="0"/>
                <w:sz w:val="20"/>
              </w:rPr>
            </w:pPr>
            <w:r>
              <w:rPr>
                <w:color w:val="000000"/>
                <w:kern w:val="0"/>
                <w:sz w:val="20"/>
              </w:rPr>
              <w:t>全区义务教育学校数</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465" w:hRule="atLeast"/>
          <w:jc w:val="center"/>
        </w:trPr>
        <w:tc>
          <w:tcPr>
            <w:tcW w:w="1048" w:type="dxa"/>
            <w:vMerge w:val="continue"/>
            <w:tcBorders>
              <w:left w:val="single" w:color="000000" w:sz="4" w:space="0"/>
              <w:right w:val="single" w:color="000000" w:sz="4" w:space="0"/>
            </w:tcBorders>
            <w:shd w:val="clear" w:color="auto" w:fill="auto"/>
            <w:tcMar>
              <w:top w:w="15" w:type="dxa"/>
              <w:bottom w:w="15" w:type="dxa"/>
            </w:tcMar>
            <w:vAlign w:val="center"/>
          </w:tcPr>
          <w:p>
            <w:pPr>
              <w:widowControl/>
              <w:jc w:val="center"/>
              <w:rPr>
                <w:color w:val="000000"/>
                <w:kern w:val="0"/>
                <w:sz w:val="20"/>
              </w:rPr>
            </w:pP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center"/>
              <w:rPr>
                <w:color w:val="000000"/>
                <w:kern w:val="0"/>
                <w:sz w:val="20"/>
              </w:rPr>
            </w:pPr>
            <w:r>
              <w:rPr>
                <w:color w:val="000000"/>
                <w:kern w:val="0"/>
                <w:sz w:val="20"/>
              </w:rPr>
              <w:t>现代化建设合格学校数（2016年-2019年）</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809"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center"/>
              <w:rPr>
                <w:color w:val="000000"/>
                <w:kern w:val="0"/>
                <w:sz w:val="20"/>
              </w:rPr>
            </w:pPr>
            <w:r>
              <w:rPr>
                <w:color w:val="000000"/>
                <w:kern w:val="0"/>
                <w:sz w:val="20"/>
              </w:rPr>
              <w:t>2020年拟建设义务教育现代化学校数（其中</w:t>
            </w:r>
            <w:r>
              <w:rPr>
                <w:rFonts w:eastAsia="宋体"/>
                <w:color w:val="000000"/>
                <w:kern w:val="0"/>
                <w:sz w:val="20"/>
              </w:rPr>
              <w:t>①</w:t>
            </w:r>
            <w:r>
              <w:rPr>
                <w:color w:val="000000"/>
                <w:kern w:val="0"/>
                <w:sz w:val="20"/>
              </w:rPr>
              <w:t>已评的素质教育特色学校数；</w:t>
            </w:r>
            <w:r>
              <w:rPr>
                <w:rFonts w:eastAsia="宋体"/>
                <w:color w:val="000000"/>
                <w:kern w:val="0"/>
                <w:sz w:val="20"/>
              </w:rPr>
              <w:t>②</w:t>
            </w:r>
            <w:r>
              <w:rPr>
                <w:color w:val="000000"/>
                <w:kern w:val="0"/>
                <w:sz w:val="20"/>
              </w:rPr>
              <w:t>20</w:t>
            </w:r>
            <w:r>
              <w:rPr>
                <w:rFonts w:hint="eastAsia"/>
                <w:color w:val="000000"/>
                <w:kern w:val="0"/>
                <w:sz w:val="20"/>
                <w:lang w:val="en-US" w:eastAsia="zh-CN"/>
              </w:rPr>
              <w:t>20</w:t>
            </w:r>
            <w:r>
              <w:rPr>
                <w:color w:val="000000"/>
                <w:kern w:val="0"/>
                <w:sz w:val="20"/>
              </w:rPr>
              <w:t>年拟创建素质教育特色学校数）</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210" w:hRule="atLeast"/>
          <w:jc w:val="center"/>
        </w:trPr>
        <w:tc>
          <w:tcPr>
            <w:tcW w:w="8731" w:type="dxa"/>
            <w:gridSpan w:val="4"/>
            <w:shd w:val="clear" w:color="auto" w:fill="auto"/>
            <w:tcMar>
              <w:top w:w="15" w:type="dxa"/>
              <w:bottom w:w="15" w:type="dxa"/>
            </w:tcMar>
            <w:textDirection w:val="tbRlV"/>
            <w:vAlign w:val="center"/>
          </w:tcPr>
          <w:p>
            <w:pPr>
              <w:rPr>
                <w:szCs w:val="22"/>
              </w:rPr>
            </w:pPr>
          </w:p>
        </w:tc>
      </w:tr>
      <w:tr>
        <w:tblPrEx>
          <w:tblCellMar>
            <w:top w:w="0" w:type="dxa"/>
            <w:left w:w="108" w:type="dxa"/>
            <w:bottom w:w="0" w:type="dxa"/>
            <w:right w:w="108" w:type="dxa"/>
          </w:tblCellMar>
        </w:tblPrEx>
        <w:trPr>
          <w:trHeight w:val="40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center"/>
              <w:rPr>
                <w:rFonts w:eastAsia="黑体"/>
                <w:color w:val="000000"/>
                <w:kern w:val="0"/>
                <w:sz w:val="20"/>
              </w:rPr>
            </w:pPr>
            <w:r>
              <w:rPr>
                <w:rFonts w:eastAsia="黑体"/>
                <w:color w:val="000000"/>
                <w:kern w:val="0"/>
                <w:sz w:val="20"/>
              </w:rPr>
              <w:t>内容</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center"/>
              <w:rPr>
                <w:rFonts w:eastAsia="黑体"/>
                <w:color w:val="000000"/>
                <w:kern w:val="0"/>
                <w:sz w:val="22"/>
                <w:szCs w:val="22"/>
              </w:rPr>
            </w:pPr>
            <w:r>
              <w:rPr>
                <w:rFonts w:eastAsia="黑体"/>
                <w:color w:val="000000"/>
                <w:kern w:val="0"/>
                <w:sz w:val="22"/>
                <w:szCs w:val="22"/>
              </w:rPr>
              <w:t>项  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center"/>
              <w:rPr>
                <w:rFonts w:eastAsia="黑体"/>
                <w:color w:val="000000"/>
                <w:kern w:val="0"/>
                <w:sz w:val="22"/>
                <w:szCs w:val="22"/>
              </w:rPr>
            </w:pPr>
            <w:r>
              <w:rPr>
                <w:rFonts w:eastAsia="黑体"/>
                <w:color w:val="000000"/>
                <w:kern w:val="0"/>
                <w:sz w:val="22"/>
                <w:szCs w:val="22"/>
              </w:rPr>
              <w:t>自查情况</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center"/>
              <w:rPr>
                <w:rFonts w:eastAsia="黑体"/>
                <w:color w:val="000000"/>
                <w:kern w:val="0"/>
                <w:sz w:val="22"/>
                <w:szCs w:val="22"/>
              </w:rPr>
            </w:pPr>
            <w:r>
              <w:rPr>
                <w:rFonts w:eastAsia="黑体"/>
                <w:color w:val="000000"/>
                <w:kern w:val="0"/>
                <w:sz w:val="22"/>
                <w:szCs w:val="22"/>
              </w:rPr>
              <w:t>备注</w:t>
            </w:r>
          </w:p>
        </w:tc>
      </w:tr>
      <w:tr>
        <w:tblPrEx>
          <w:tblCellMar>
            <w:top w:w="0" w:type="dxa"/>
            <w:left w:w="108" w:type="dxa"/>
            <w:bottom w:w="0" w:type="dxa"/>
            <w:right w:w="108" w:type="dxa"/>
          </w:tblCellMar>
        </w:tblPrEx>
        <w:trPr>
          <w:trHeight w:val="476"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widowControl/>
              <w:jc w:val="center"/>
              <w:rPr>
                <w:color w:val="000000"/>
                <w:kern w:val="0"/>
                <w:sz w:val="20"/>
              </w:rPr>
            </w:pPr>
            <w:r>
              <w:rPr>
                <w:color w:val="000000"/>
                <w:kern w:val="0"/>
                <w:sz w:val="20"/>
              </w:rPr>
              <w:t>一、组织领导</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1.是否成立工作领导小组或专班</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448"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rPr>
                <w:szCs w:val="22"/>
              </w:rPr>
            </w:pP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2.是否召开全区推进会议，部署任务</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744"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rPr>
                <w:szCs w:val="22"/>
              </w:rPr>
            </w:pP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3.是否召开专题研究协调会议，现场协调解决问题。（会议次数、协调解决问题个数）</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644"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rPr>
                <w:szCs w:val="22"/>
              </w:rPr>
            </w:pP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4.是否组织学习培训，解读指标体系，分解任务（次数、参与人次）</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700"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widowControl/>
              <w:jc w:val="center"/>
              <w:rPr>
                <w:color w:val="000000"/>
                <w:kern w:val="0"/>
                <w:sz w:val="20"/>
              </w:rPr>
            </w:pPr>
            <w:r>
              <w:rPr>
                <w:color w:val="000000"/>
                <w:kern w:val="0"/>
                <w:sz w:val="20"/>
              </w:rPr>
              <w:t>二、工作制度、机制</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5.落实责任制和责任追究制，工作结果与年度绩效考核挂钩，奖惩分明。</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782"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rPr>
                <w:szCs w:val="22"/>
              </w:rPr>
            </w:pP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6.建立过程管理制度，根据指标分解，形成各负其责，齐抓共管的格局</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808"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rPr>
                <w:szCs w:val="22"/>
              </w:rPr>
            </w:pP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7.完善责任督学挂牌督导制度，增加随访督导（督学随访督导次数、专项报告份数）</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82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rPr>
                <w:szCs w:val="22"/>
              </w:rPr>
            </w:pP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8.建立简报、周报制度，定期通报交流（制发简报、通报等份数）</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1563"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widowControl/>
              <w:jc w:val="center"/>
              <w:rPr>
                <w:color w:val="000000"/>
                <w:kern w:val="0"/>
                <w:sz w:val="20"/>
              </w:rPr>
            </w:pPr>
            <w:r>
              <w:rPr>
                <w:color w:val="000000"/>
                <w:kern w:val="0"/>
                <w:sz w:val="20"/>
              </w:rPr>
              <w:t>三、保障措施</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9.纳入区级财政预算：</w:t>
            </w:r>
            <w:r>
              <w:rPr>
                <w:rFonts w:eastAsia="宋体"/>
                <w:color w:val="000000"/>
                <w:kern w:val="0"/>
                <w:sz w:val="20"/>
              </w:rPr>
              <w:t>①</w:t>
            </w:r>
            <w:r>
              <w:rPr>
                <w:color w:val="000000"/>
                <w:kern w:val="0"/>
                <w:sz w:val="20"/>
              </w:rPr>
              <w:t>2020年总投入经费（其中2019年已投入经费、2020年计划投入经费）；</w:t>
            </w:r>
            <w:r>
              <w:rPr>
                <w:rFonts w:eastAsia="宋体"/>
                <w:color w:val="000000"/>
                <w:kern w:val="0"/>
                <w:sz w:val="20"/>
              </w:rPr>
              <w:t>②</w:t>
            </w:r>
            <w:r>
              <w:rPr>
                <w:color w:val="000000"/>
                <w:kern w:val="0"/>
                <w:sz w:val="20"/>
              </w:rPr>
              <w:t>总投入中用于新改扩建经费、用于设施设备经费、用于软件投入经费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948"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widowControl/>
              <w:jc w:val="center"/>
              <w:rPr>
                <w:color w:val="000000"/>
                <w:kern w:val="0"/>
                <w:sz w:val="20"/>
              </w:rPr>
            </w:pPr>
            <w:r>
              <w:rPr>
                <w:color w:val="000000"/>
                <w:kern w:val="0"/>
                <w:sz w:val="20"/>
              </w:rPr>
              <w:t>四、督导方式</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10.是否引入第三方评价机构（具体机构名称）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683"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rPr>
                <w:szCs w:val="22"/>
              </w:rPr>
            </w:pP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11.是否运用信息化手段推进现代化学校建设（简要举例说明）</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679"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widowControl/>
              <w:jc w:val="center"/>
              <w:rPr>
                <w:color w:val="000000"/>
                <w:kern w:val="0"/>
                <w:sz w:val="20"/>
              </w:rPr>
            </w:pPr>
            <w:r>
              <w:rPr>
                <w:color w:val="000000"/>
                <w:kern w:val="0"/>
                <w:sz w:val="20"/>
              </w:rPr>
              <w:t>五、结果运用</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12.是否形成了落实督导意见和整改要求的工作机制，且在规定时限内完成整改</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802"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rPr>
                <w:szCs w:val="22"/>
              </w:rPr>
            </w:pP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13.将学校建设、限期整改的进度和成效作为学校及其主要负责人考核奖惩的重要依据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901" w:hRule="atLeast"/>
          <w:jc w:val="center"/>
        </w:trPr>
        <w:tc>
          <w:tcPr>
            <w:tcW w:w="1048" w:type="dxa"/>
            <w:vMerge w:val="restart"/>
            <w:tcBorders>
              <w:top w:val="single" w:color="000000" w:sz="4" w:space="0"/>
              <w:left w:val="single" w:color="000000" w:sz="4" w:space="0"/>
              <w:right w:val="single" w:color="000000" w:sz="4" w:space="0"/>
            </w:tcBorders>
            <w:shd w:val="clear" w:color="auto" w:fill="auto"/>
            <w:tcMar>
              <w:top w:w="15" w:type="dxa"/>
              <w:bottom w:w="15" w:type="dxa"/>
            </w:tcMar>
            <w:textDirection w:val="tbRlV"/>
            <w:vAlign w:val="center"/>
          </w:tcPr>
          <w:p>
            <w:pPr>
              <w:widowControl/>
              <w:jc w:val="center"/>
              <w:rPr>
                <w:color w:val="000000"/>
                <w:kern w:val="0"/>
                <w:sz w:val="20"/>
              </w:rPr>
            </w:pPr>
            <w:r>
              <w:rPr>
                <w:color w:val="000000"/>
                <w:kern w:val="0"/>
                <w:sz w:val="20"/>
              </w:rPr>
              <w:t>六、工作进度</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14.2020年建设学校中正在进行招投标、已开工正在进行建设、还未动工的学校数（请分别对应填写数字）</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430" w:hRule="atLeast"/>
          <w:jc w:val="center"/>
        </w:trPr>
        <w:tc>
          <w:tcPr>
            <w:tcW w:w="1048" w:type="dxa"/>
            <w:vMerge w:val="continue"/>
            <w:tcBorders>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widowControl/>
              <w:jc w:val="center"/>
              <w:rPr>
                <w:color w:val="000000"/>
                <w:kern w:val="0"/>
                <w:sz w:val="20"/>
              </w:rPr>
            </w:pP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15.预计全部完成时间</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2123" w:hRule="atLeast"/>
          <w:jc w:val="center"/>
        </w:trPr>
        <w:tc>
          <w:tcPr>
            <w:tcW w:w="1048" w:type="dxa"/>
            <w:tcBorders>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widowControl/>
              <w:jc w:val="center"/>
              <w:rPr>
                <w:color w:val="000000"/>
                <w:kern w:val="0"/>
                <w:sz w:val="20"/>
              </w:rPr>
            </w:pPr>
            <w:r>
              <w:rPr>
                <w:color w:val="000000"/>
                <w:kern w:val="0"/>
                <w:sz w:val="20"/>
              </w:rPr>
              <w:t>七、疫情期间的特殊政策</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16.针对疫情的影响，采取的特殊有效的政策措施</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r>
        <w:tblPrEx>
          <w:tblCellMar>
            <w:top w:w="0" w:type="dxa"/>
            <w:left w:w="108" w:type="dxa"/>
            <w:bottom w:w="0" w:type="dxa"/>
            <w:right w:w="108" w:type="dxa"/>
          </w:tblCellMar>
        </w:tblPrEx>
        <w:trPr>
          <w:trHeight w:val="5188"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textDirection w:val="tbRlV"/>
            <w:vAlign w:val="center"/>
          </w:tcPr>
          <w:p>
            <w:pPr>
              <w:widowControl/>
              <w:jc w:val="center"/>
              <w:rPr>
                <w:color w:val="000000"/>
                <w:kern w:val="0"/>
                <w:sz w:val="20"/>
              </w:rPr>
            </w:pPr>
            <w:r>
              <w:rPr>
                <w:color w:val="000000"/>
                <w:kern w:val="0"/>
                <w:sz w:val="20"/>
              </w:rPr>
              <w:t>八、主要成效</w:t>
            </w:r>
          </w:p>
        </w:tc>
        <w:tc>
          <w:tcPr>
            <w:tcW w:w="4219"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widowControl/>
              <w:jc w:val="left"/>
              <w:rPr>
                <w:color w:val="000000"/>
                <w:kern w:val="0"/>
                <w:sz w:val="20"/>
              </w:rPr>
            </w:pPr>
            <w:r>
              <w:rPr>
                <w:color w:val="000000"/>
                <w:kern w:val="0"/>
                <w:sz w:val="20"/>
              </w:rPr>
              <w:t>17.主要工作成效（需文字简要说明最亮点的工作经验与成绩，条目式，不超过五条）</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bottom w:w="15" w:type="dxa"/>
            </w:tcMar>
            <w:vAlign w:val="center"/>
          </w:tcPr>
          <w:p>
            <w:pPr>
              <w:rPr>
                <w:szCs w:val="22"/>
              </w:rPr>
            </w:pPr>
          </w:p>
        </w:tc>
      </w:tr>
    </w:tbl>
    <w:p>
      <w:r>
        <w:rPr>
          <w:sz w:val="24"/>
          <w:szCs w:val="24"/>
        </w:rPr>
        <w:t>备注：请各区认真填写表格，对题作答，每个要点都要有回应，能用数据尽量用数据。</w:t>
      </w:r>
    </w:p>
    <w:sectPr>
      <w:footerReference r:id="rId3" w:type="default"/>
      <w:footerReference r:id="rId4" w:type="even"/>
      <w:type w:val="continuous"/>
      <w:pgSz w:w="11906" w:h="16838"/>
      <w:pgMar w:top="2098" w:right="1474" w:bottom="1985" w:left="1588" w:header="851" w:footer="1361" w:gutter="0"/>
      <w:cols w:space="425"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ind w:left="350" w:right="360"/>
      <w:jc w:val="right"/>
    </w:pPr>
    <w:r>
      <w:rPr>
        <w:rStyle w:val="12"/>
        <w:rFonts w:hint="eastAsia"/>
      </w:rPr>
      <w:t>－</w:t>
    </w: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r>
      <w:rPr>
        <w:rStyle w:val="12"/>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ind w:left="350" w:right="360"/>
    </w:pPr>
    <w:r>
      <w:rPr>
        <w:rStyle w:val="12"/>
        <w:rFonts w:hint="eastAsia"/>
      </w:rPr>
      <w:t>－</w:t>
    </w: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r>
      <w:rPr>
        <w:rStyle w:val="12"/>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attachedTemplate r:id="rId1"/>
  <w:documentProtection w:enforcement="0"/>
  <w:defaultTabStop w:val="425"/>
  <w:evenAndOddHeaders w:val="1"/>
  <w:drawingGridHorizontalSpacing w:val="311"/>
  <w:drawingGridVerticalSpacing w:val="573"/>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E3"/>
    <w:rsid w:val="00220DF3"/>
    <w:rsid w:val="00435C7A"/>
    <w:rsid w:val="009237AF"/>
    <w:rsid w:val="00DC50E3"/>
    <w:rsid w:val="00FC1E21"/>
    <w:rsid w:val="201E5942"/>
    <w:rsid w:val="4E26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name="Normal Indent"/>
    <w:lsdException w:uiPriority="99" w:name="footnote text"/>
    <w:lsdException w:uiPriority="99" w:name="annotation text"/>
    <w:lsdException w:qFormat="1"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0000"/>
      <w:kern w:val="44"/>
      <w:sz w:val="72"/>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公文小标宋简" w:eastAsia="公文小标宋简"/>
      <w:sz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iPriority w:val="0"/>
    <w:pPr>
      <w:ind w:firstLine="630"/>
    </w:pPr>
    <w:rPr>
      <w:kern w:val="0"/>
    </w:rPr>
  </w:style>
  <w:style w:type="paragraph" w:styleId="6">
    <w:name w:val="Date"/>
    <w:basedOn w:val="1"/>
    <w:next w:val="1"/>
    <w:semiHidden/>
    <w:qFormat/>
    <w:uiPriority w:val="0"/>
  </w:style>
  <w:style w:type="paragraph" w:styleId="7">
    <w:name w:val="Balloon Text"/>
    <w:basedOn w:val="1"/>
    <w:link w:val="17"/>
    <w:semiHidden/>
    <w:unhideWhenUsed/>
    <w:qFormat/>
    <w:uiPriority w:val="99"/>
    <w:rPr>
      <w:sz w:val="18"/>
      <w:szCs w:val="18"/>
    </w:rPr>
  </w:style>
  <w:style w:type="paragraph" w:styleId="8">
    <w:name w:val="footer"/>
    <w:basedOn w:val="1"/>
    <w:semiHidden/>
    <w:uiPriority w:val="0"/>
    <w:pPr>
      <w:tabs>
        <w:tab w:val="center" w:pos="4153"/>
        <w:tab w:val="right" w:pos="8306"/>
      </w:tabs>
      <w:snapToGrid w:val="0"/>
      <w:jc w:val="left"/>
    </w:pPr>
    <w:rPr>
      <w:sz w:val="18"/>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rPr>
  </w:style>
  <w:style w:type="character" w:styleId="12">
    <w:name w:val="page number"/>
    <w:basedOn w:val="11"/>
    <w:semiHidden/>
    <w:qFormat/>
    <w:uiPriority w:val="0"/>
    <w:rPr>
      <w:rFonts w:eastAsia="宋体"/>
      <w:sz w:val="28"/>
    </w:rPr>
  </w:style>
  <w:style w:type="paragraph" w:customStyle="1" w:styleId="13">
    <w:name w:val="主题词"/>
    <w:basedOn w:val="1"/>
    <w:qFormat/>
    <w:uiPriority w:val="0"/>
    <w:pPr>
      <w:framePr w:wrap="notBeside" w:vAnchor="margin" w:hAnchor="margin" w:yAlign="bottom"/>
      <w:ind w:left="1246" w:hanging="1246"/>
    </w:pPr>
    <w:rPr>
      <w:rFonts w:eastAsia="公文小标宋简"/>
    </w:rPr>
  </w:style>
  <w:style w:type="paragraph" w:customStyle="1" w:styleId="14">
    <w:name w:val="附件"/>
    <w:basedOn w:val="1"/>
    <w:qFormat/>
    <w:uiPriority w:val="0"/>
    <w:pPr>
      <w:ind w:left="1638" w:hanging="1016"/>
    </w:pPr>
  </w:style>
  <w:style w:type="paragraph" w:customStyle="1" w:styleId="15">
    <w:name w:val="秘密紧急"/>
    <w:basedOn w:val="1"/>
    <w:uiPriority w:val="0"/>
    <w:pPr>
      <w:jc w:val="right"/>
    </w:pPr>
    <w:rPr>
      <w:rFonts w:ascii="黑体" w:eastAsia="黑体"/>
    </w:rPr>
  </w:style>
  <w:style w:type="paragraph" w:customStyle="1" w:styleId="16">
    <w:name w:val="抄 送"/>
    <w:basedOn w:val="13"/>
    <w:uiPriority w:val="0"/>
    <w:pPr>
      <w:ind w:left="0" w:firstLine="0"/>
    </w:pPr>
    <w:rPr>
      <w:rFonts w:eastAsia="仿宋_GB2312"/>
    </w:rPr>
  </w:style>
  <w:style w:type="character" w:customStyle="1" w:styleId="17">
    <w:name w:val="批注框文本 Char"/>
    <w:basedOn w:val="11"/>
    <w:link w:val="7"/>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X0 公文_空白.dot</Template>
  <Company>MS</Company>
  <Pages>1</Pages>
  <Words>264</Words>
  <Characters>1506</Characters>
  <Lines>12</Lines>
  <Paragraphs>3</Paragraphs>
  <TotalTime>11</TotalTime>
  <ScaleCrop>false</ScaleCrop>
  <LinksUpToDate>false</LinksUpToDate>
  <CharactersWithSpaces>1767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2020-07-28T08:56:00Z</dcterms:created>
  <dc:creator>USER-</dc:creator>
  <cp:lastModifiedBy>Administrator</cp:lastModifiedBy>
  <cp:lastPrinted>2020-07-28T09:07:00Z</cp:lastPrinted>
  <dcterms:modified xsi:type="dcterms:W3CDTF">2020-10-28T07:58:08Z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